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76CC" w14:textId="257B9671" w:rsidR="004966B8" w:rsidRPr="00F151B7" w:rsidRDefault="004966B8" w:rsidP="001A1DA3">
      <w:pPr>
        <w:spacing w:line="276" w:lineRule="auto"/>
        <w:ind w:left="1080" w:right="1166"/>
        <w:jc w:val="center"/>
        <w:rPr>
          <w:rFonts w:ascii="Times New Roman" w:hAnsi="Times New Roman" w:cs="Times New Roman"/>
          <w:b/>
          <w:bCs/>
          <w:sz w:val="32"/>
          <w:szCs w:val="32"/>
        </w:rPr>
      </w:pPr>
      <w:r w:rsidRPr="00F151B7">
        <w:rPr>
          <w:rFonts w:ascii="Times New Roman" w:hAnsi="Times New Roman" w:cs="Times New Roman"/>
          <w:b/>
          <w:bCs/>
          <w:sz w:val="32"/>
          <w:szCs w:val="32"/>
        </w:rPr>
        <w:t>ACOs’ Use of Telehealth During the COVID-19 Pandemic</w:t>
      </w:r>
    </w:p>
    <w:p w14:paraId="2D8CC0C7" w14:textId="0BCC6564" w:rsidR="00094DA5" w:rsidRDefault="00094DA5" w:rsidP="001A1DA3">
      <w:pPr>
        <w:spacing w:line="276" w:lineRule="auto"/>
        <w:ind w:left="1080" w:right="1166"/>
        <w:jc w:val="center"/>
        <w:rPr>
          <w:rFonts w:ascii="Times New Roman" w:hAnsi="Times New Roman" w:cs="Times New Roman"/>
          <w:b/>
          <w:bCs/>
        </w:rPr>
      </w:pPr>
    </w:p>
    <w:p w14:paraId="3B5A71AA" w14:textId="7BBD4BB4" w:rsidR="00094DA5" w:rsidRPr="00453189" w:rsidRDefault="00CB4733" w:rsidP="001A1DA3">
      <w:pPr>
        <w:spacing w:line="276" w:lineRule="auto"/>
        <w:ind w:left="1080" w:right="1166"/>
        <w:jc w:val="center"/>
        <w:rPr>
          <w:rFonts w:ascii="Times New Roman" w:hAnsi="Times New Roman" w:cs="Times New Roman"/>
          <w:b/>
          <w:bCs/>
        </w:rPr>
      </w:pPr>
      <w:r>
        <w:rPr>
          <w:rFonts w:ascii="Times New Roman" w:hAnsi="Times New Roman" w:cs="Times New Roman"/>
          <w:b/>
          <w:bCs/>
        </w:rPr>
        <w:t>May 25, 2021</w:t>
      </w:r>
    </w:p>
    <w:p w14:paraId="0A03FF03" w14:textId="77777777" w:rsidR="001A1DA3" w:rsidRDefault="001A1DA3" w:rsidP="001A1DA3">
      <w:pPr>
        <w:spacing w:line="276" w:lineRule="auto"/>
        <w:ind w:left="1080" w:right="1170"/>
        <w:rPr>
          <w:rFonts w:ascii="Times New Roman" w:hAnsi="Times New Roman" w:cs="Times New Roman"/>
        </w:rPr>
      </w:pPr>
    </w:p>
    <w:p w14:paraId="283C9077" w14:textId="7AD466F3" w:rsidR="004966B8" w:rsidRDefault="004966B8" w:rsidP="001A1DA3">
      <w:pPr>
        <w:spacing w:line="276" w:lineRule="auto"/>
        <w:ind w:left="1080" w:right="1166"/>
        <w:rPr>
          <w:rFonts w:ascii="Times New Roman" w:hAnsi="Times New Roman" w:cs="Times New Roman"/>
        </w:rPr>
      </w:pPr>
      <w:r w:rsidRPr="00453189">
        <w:rPr>
          <w:rFonts w:ascii="Times New Roman" w:hAnsi="Times New Roman" w:cs="Times New Roman"/>
        </w:rPr>
        <w:t>The COVID</w:t>
      </w:r>
      <w:r>
        <w:rPr>
          <w:rFonts w:ascii="Times New Roman" w:hAnsi="Times New Roman" w:cs="Times New Roman"/>
        </w:rPr>
        <w:t>-</w:t>
      </w:r>
      <w:r w:rsidRPr="00453189">
        <w:rPr>
          <w:rFonts w:ascii="Times New Roman" w:hAnsi="Times New Roman" w:cs="Times New Roman"/>
        </w:rPr>
        <w:t xml:space="preserve">pandemic </w:t>
      </w:r>
      <w:r>
        <w:rPr>
          <w:rFonts w:ascii="Times New Roman" w:hAnsi="Times New Roman" w:cs="Times New Roman"/>
        </w:rPr>
        <w:t xml:space="preserve">exposed many of the flaws in the US health care system including disparities in access to care, fragmentation of services, inadequate investment in public health and a financing model dependent on service volume. In addition to the human toll, the pandemic has strained the healthcare system’s finances </w:t>
      </w:r>
      <w:r w:rsidRPr="00453189">
        <w:rPr>
          <w:rFonts w:ascii="Times New Roman" w:hAnsi="Times New Roman" w:cs="Times New Roman"/>
        </w:rPr>
        <w:t xml:space="preserve">as elective procedures </w:t>
      </w:r>
      <w:r>
        <w:rPr>
          <w:rFonts w:ascii="Times New Roman" w:hAnsi="Times New Roman" w:cs="Times New Roman"/>
        </w:rPr>
        <w:t>were</w:t>
      </w:r>
      <w:r w:rsidRPr="00453189">
        <w:rPr>
          <w:rFonts w:ascii="Times New Roman" w:hAnsi="Times New Roman" w:cs="Times New Roman"/>
        </w:rPr>
        <w:t xml:space="preserve"> canceled, medical offices closed, and patients </w:t>
      </w:r>
      <w:r>
        <w:rPr>
          <w:rFonts w:ascii="Times New Roman" w:hAnsi="Times New Roman" w:cs="Times New Roman"/>
        </w:rPr>
        <w:t xml:space="preserve">avoided </w:t>
      </w:r>
      <w:r w:rsidRPr="00453189">
        <w:rPr>
          <w:rFonts w:ascii="Times New Roman" w:hAnsi="Times New Roman" w:cs="Times New Roman"/>
        </w:rPr>
        <w:t xml:space="preserve">care for fear of infection. </w:t>
      </w:r>
      <w:r>
        <w:rPr>
          <w:rFonts w:ascii="Times New Roman" w:hAnsi="Times New Roman" w:cs="Times New Roman"/>
        </w:rPr>
        <w:t xml:space="preserve">Health care organizations made operational changes at an unprecedented pace to create </w:t>
      </w:r>
      <w:r w:rsidR="0004426F">
        <w:rPr>
          <w:rFonts w:ascii="Times New Roman" w:hAnsi="Times New Roman" w:cs="Times New Roman"/>
        </w:rPr>
        <w:t xml:space="preserve">safe </w:t>
      </w:r>
      <w:r>
        <w:rPr>
          <w:rFonts w:ascii="Times New Roman" w:hAnsi="Times New Roman" w:cs="Times New Roman"/>
        </w:rPr>
        <w:t xml:space="preserve">ways </w:t>
      </w:r>
      <w:r w:rsidR="0004426F">
        <w:rPr>
          <w:rFonts w:ascii="Times New Roman" w:hAnsi="Times New Roman" w:cs="Times New Roman"/>
        </w:rPr>
        <w:t xml:space="preserve">for their </w:t>
      </w:r>
      <w:r>
        <w:rPr>
          <w:rFonts w:ascii="Times New Roman" w:hAnsi="Times New Roman" w:cs="Times New Roman"/>
        </w:rPr>
        <w:t xml:space="preserve">patients to access care, and to support providers – particularly small independent practices – to help them </w:t>
      </w:r>
      <w:r w:rsidR="0004426F">
        <w:rPr>
          <w:rFonts w:ascii="Times New Roman" w:hAnsi="Times New Roman" w:cs="Times New Roman"/>
        </w:rPr>
        <w:t xml:space="preserve">continue </w:t>
      </w:r>
      <w:r>
        <w:rPr>
          <w:rFonts w:ascii="Times New Roman" w:hAnsi="Times New Roman" w:cs="Times New Roman"/>
        </w:rPr>
        <w:t>operati</w:t>
      </w:r>
      <w:r w:rsidR="0004426F">
        <w:rPr>
          <w:rFonts w:ascii="Times New Roman" w:hAnsi="Times New Roman" w:cs="Times New Roman"/>
        </w:rPr>
        <w:t xml:space="preserve">ng and </w:t>
      </w:r>
      <w:r w:rsidR="00230F41">
        <w:rPr>
          <w:rFonts w:ascii="Times New Roman" w:hAnsi="Times New Roman" w:cs="Times New Roman"/>
        </w:rPr>
        <w:t xml:space="preserve">remain </w:t>
      </w:r>
      <w:r w:rsidR="0004426F">
        <w:rPr>
          <w:rFonts w:ascii="Times New Roman" w:hAnsi="Times New Roman" w:cs="Times New Roman"/>
        </w:rPr>
        <w:t>financially viable</w:t>
      </w:r>
      <w:r>
        <w:rPr>
          <w:rFonts w:ascii="Times New Roman" w:hAnsi="Times New Roman" w:cs="Times New Roman"/>
        </w:rPr>
        <w:t>. Many changes that occurred in 2020 were facilitated by e</w:t>
      </w:r>
      <w:r w:rsidRPr="00453189">
        <w:rPr>
          <w:rFonts w:ascii="Times New Roman" w:hAnsi="Times New Roman" w:cs="Times New Roman"/>
        </w:rPr>
        <w:t xml:space="preserve">mergency payment waivers </w:t>
      </w:r>
      <w:r w:rsidR="0004426F">
        <w:rPr>
          <w:rFonts w:ascii="Times New Roman" w:hAnsi="Times New Roman" w:cs="Times New Roman"/>
        </w:rPr>
        <w:t>enacted by</w:t>
      </w:r>
      <w:r>
        <w:rPr>
          <w:rFonts w:ascii="Times New Roman" w:hAnsi="Times New Roman" w:cs="Times New Roman"/>
        </w:rPr>
        <w:t xml:space="preserve"> Centers for Medicare and Medicaid Services (CMS) in response to the public health emergency. These waivers allowed providers to be reimbursed for new modes of care in non-traditional settings including </w:t>
      </w:r>
      <w:r w:rsidRPr="00453189">
        <w:rPr>
          <w:rFonts w:ascii="Times New Roman" w:hAnsi="Times New Roman" w:cs="Times New Roman"/>
        </w:rPr>
        <w:t>patients</w:t>
      </w:r>
      <w:r>
        <w:rPr>
          <w:rFonts w:ascii="Times New Roman" w:hAnsi="Times New Roman" w:cs="Times New Roman"/>
        </w:rPr>
        <w:t xml:space="preserve">’ </w:t>
      </w:r>
      <w:r w:rsidRPr="00453189">
        <w:rPr>
          <w:rFonts w:ascii="Times New Roman" w:hAnsi="Times New Roman" w:cs="Times New Roman"/>
        </w:rPr>
        <w:t>homes.</w:t>
      </w:r>
    </w:p>
    <w:p w14:paraId="3FECB425" w14:textId="634859C6" w:rsidR="004966B8" w:rsidRDefault="004966B8" w:rsidP="001A1DA3">
      <w:pPr>
        <w:spacing w:before="120" w:after="120" w:line="276" w:lineRule="auto"/>
        <w:ind w:left="1080" w:right="1166"/>
        <w:rPr>
          <w:rFonts w:ascii="Times New Roman" w:hAnsi="Times New Roman" w:cs="Times New Roman"/>
        </w:rPr>
      </w:pPr>
      <w:r>
        <w:rPr>
          <w:rFonts w:ascii="Times New Roman" w:hAnsi="Times New Roman" w:cs="Times New Roman"/>
        </w:rPr>
        <w:t>The new regulatory flexibilities and payment waivers create</w:t>
      </w:r>
      <w:r w:rsidR="0004426F">
        <w:rPr>
          <w:rFonts w:ascii="Times New Roman" w:hAnsi="Times New Roman" w:cs="Times New Roman"/>
        </w:rPr>
        <w:t>d</w:t>
      </w:r>
      <w:r>
        <w:rPr>
          <w:rFonts w:ascii="Times New Roman" w:hAnsi="Times New Roman" w:cs="Times New Roman"/>
        </w:rPr>
        <w:t xml:space="preserve"> opportunities for health care </w:t>
      </w:r>
      <w:r w:rsidRPr="00453189">
        <w:rPr>
          <w:rFonts w:ascii="Times New Roman" w:hAnsi="Times New Roman" w:cs="Times New Roman"/>
        </w:rPr>
        <w:t xml:space="preserve">organizations to </w:t>
      </w:r>
      <w:r>
        <w:rPr>
          <w:rFonts w:ascii="Times New Roman" w:hAnsi="Times New Roman" w:cs="Times New Roman"/>
        </w:rPr>
        <w:t xml:space="preserve">deliver care more efficiently, </w:t>
      </w:r>
      <w:proofErr w:type="gramStart"/>
      <w:r>
        <w:rPr>
          <w:rFonts w:ascii="Times New Roman" w:hAnsi="Times New Roman" w:cs="Times New Roman"/>
        </w:rPr>
        <w:t>effectively</w:t>
      </w:r>
      <w:proofErr w:type="gramEnd"/>
      <w:r>
        <w:rPr>
          <w:rFonts w:ascii="Times New Roman" w:hAnsi="Times New Roman" w:cs="Times New Roman"/>
        </w:rPr>
        <w:t xml:space="preserve"> and conveniently. </w:t>
      </w:r>
      <w:r w:rsidRPr="00453189">
        <w:rPr>
          <w:rFonts w:ascii="Times New Roman" w:hAnsi="Times New Roman" w:cs="Times New Roman"/>
        </w:rPr>
        <w:t xml:space="preserve">Accountable Care Organizations (ACOs) are well positioned to take advantage of the </w:t>
      </w:r>
      <w:r>
        <w:rPr>
          <w:rFonts w:ascii="Times New Roman" w:hAnsi="Times New Roman" w:cs="Times New Roman"/>
        </w:rPr>
        <w:t xml:space="preserve">new </w:t>
      </w:r>
      <w:r w:rsidRPr="00453189">
        <w:rPr>
          <w:rFonts w:ascii="Times New Roman" w:hAnsi="Times New Roman" w:cs="Times New Roman"/>
        </w:rPr>
        <w:t xml:space="preserve">flexibilities </w:t>
      </w:r>
      <w:r>
        <w:rPr>
          <w:rFonts w:ascii="Times New Roman" w:hAnsi="Times New Roman" w:cs="Times New Roman"/>
        </w:rPr>
        <w:t>to improve care</w:t>
      </w:r>
      <w:r w:rsidRPr="00453189">
        <w:rPr>
          <w:rFonts w:ascii="Times New Roman" w:hAnsi="Times New Roman" w:cs="Times New Roman"/>
        </w:rPr>
        <w:t xml:space="preserve">. </w:t>
      </w:r>
      <w:r>
        <w:rPr>
          <w:rFonts w:ascii="Times New Roman" w:hAnsi="Times New Roman" w:cs="Times New Roman"/>
        </w:rPr>
        <w:t xml:space="preserve">ACOs </w:t>
      </w:r>
      <w:r w:rsidRPr="00453189">
        <w:rPr>
          <w:rFonts w:ascii="Times New Roman" w:hAnsi="Times New Roman" w:cs="Times New Roman"/>
        </w:rPr>
        <w:t xml:space="preserve">have already </w:t>
      </w:r>
      <w:r>
        <w:rPr>
          <w:rFonts w:ascii="Times New Roman" w:hAnsi="Times New Roman" w:cs="Times New Roman"/>
        </w:rPr>
        <w:t xml:space="preserve">adopted </w:t>
      </w:r>
      <w:r w:rsidR="0004426F">
        <w:rPr>
          <w:rFonts w:ascii="Times New Roman" w:hAnsi="Times New Roman" w:cs="Times New Roman"/>
        </w:rPr>
        <w:t xml:space="preserve">the </w:t>
      </w:r>
      <w:r w:rsidRPr="00453189">
        <w:rPr>
          <w:rFonts w:ascii="Times New Roman" w:hAnsi="Times New Roman" w:cs="Times New Roman"/>
        </w:rPr>
        <w:t xml:space="preserve">philosophy and </w:t>
      </w:r>
      <w:r>
        <w:rPr>
          <w:rFonts w:ascii="Times New Roman" w:hAnsi="Times New Roman" w:cs="Times New Roman"/>
        </w:rPr>
        <w:t xml:space="preserve">practices of population health and </w:t>
      </w:r>
      <w:r w:rsidR="0004426F">
        <w:rPr>
          <w:rFonts w:ascii="Times New Roman" w:hAnsi="Times New Roman" w:cs="Times New Roman"/>
        </w:rPr>
        <w:t>p</w:t>
      </w:r>
      <w:r>
        <w:rPr>
          <w:rFonts w:ascii="Times New Roman" w:hAnsi="Times New Roman" w:cs="Times New Roman"/>
        </w:rPr>
        <w:t xml:space="preserve">articipate in contracts with </w:t>
      </w:r>
      <w:r w:rsidRPr="00453189">
        <w:rPr>
          <w:rFonts w:ascii="Times New Roman" w:hAnsi="Times New Roman" w:cs="Times New Roman"/>
        </w:rPr>
        <w:t xml:space="preserve">financial incentives </w:t>
      </w:r>
      <w:r>
        <w:rPr>
          <w:rFonts w:ascii="Times New Roman" w:hAnsi="Times New Roman" w:cs="Times New Roman"/>
        </w:rPr>
        <w:t xml:space="preserve">to manage spending and improve outcomes. Most ACOs </w:t>
      </w:r>
      <w:r w:rsidRPr="00453189">
        <w:rPr>
          <w:rFonts w:ascii="Times New Roman" w:hAnsi="Times New Roman" w:cs="Times New Roman"/>
        </w:rPr>
        <w:t xml:space="preserve">have invested </w:t>
      </w:r>
      <w:r>
        <w:rPr>
          <w:rFonts w:ascii="Times New Roman" w:hAnsi="Times New Roman" w:cs="Times New Roman"/>
        </w:rPr>
        <w:t xml:space="preserve">substantial resources </w:t>
      </w:r>
      <w:r w:rsidRPr="00453189">
        <w:rPr>
          <w:rFonts w:ascii="Times New Roman" w:hAnsi="Times New Roman" w:cs="Times New Roman"/>
        </w:rPr>
        <w:t xml:space="preserve">in </w:t>
      </w:r>
      <w:r>
        <w:rPr>
          <w:rFonts w:ascii="Times New Roman" w:hAnsi="Times New Roman" w:cs="Times New Roman"/>
        </w:rPr>
        <w:t xml:space="preserve">population health analytics, </w:t>
      </w:r>
      <w:r w:rsidRPr="00453189">
        <w:rPr>
          <w:rFonts w:ascii="Times New Roman" w:hAnsi="Times New Roman" w:cs="Times New Roman"/>
        </w:rPr>
        <w:t xml:space="preserve">care coordination and engagement of patients outside of traditional medical settings. </w:t>
      </w:r>
      <w:r>
        <w:rPr>
          <w:rFonts w:ascii="Times New Roman" w:hAnsi="Times New Roman" w:cs="Times New Roman"/>
        </w:rPr>
        <w:t>These resources combined with the relationships they have developed with high-risk patients may have helped them serve vulnerable patients more effectively during the pandemic. M</w:t>
      </w:r>
      <w:r w:rsidR="0004426F">
        <w:rPr>
          <w:rFonts w:ascii="Times New Roman" w:hAnsi="Times New Roman" w:cs="Times New Roman"/>
        </w:rPr>
        <w:t>ost</w:t>
      </w:r>
      <w:r>
        <w:rPr>
          <w:rFonts w:ascii="Times New Roman" w:hAnsi="Times New Roman" w:cs="Times New Roman"/>
        </w:rPr>
        <w:t xml:space="preserve"> ACOs want to continue </w:t>
      </w:r>
      <w:r w:rsidR="0004426F">
        <w:rPr>
          <w:rFonts w:ascii="Times New Roman" w:hAnsi="Times New Roman" w:cs="Times New Roman"/>
        </w:rPr>
        <w:t>using the new</w:t>
      </w:r>
      <w:r>
        <w:rPr>
          <w:rFonts w:ascii="Times New Roman" w:hAnsi="Times New Roman" w:cs="Times New Roman"/>
        </w:rPr>
        <w:t xml:space="preserve"> practices </w:t>
      </w:r>
      <w:r w:rsidR="0004426F">
        <w:rPr>
          <w:rFonts w:ascii="Times New Roman" w:hAnsi="Times New Roman" w:cs="Times New Roman"/>
        </w:rPr>
        <w:t xml:space="preserve">they </w:t>
      </w:r>
      <w:r>
        <w:rPr>
          <w:rFonts w:ascii="Times New Roman" w:hAnsi="Times New Roman" w:cs="Times New Roman"/>
        </w:rPr>
        <w:t>developed during the pandemic as the health care system returns to its new normal.</w:t>
      </w:r>
    </w:p>
    <w:p w14:paraId="67F4F2AC" w14:textId="77777777"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To understand how ACOs have responded to the pandemic we conducted structured interviews with senior executives from seven diverse </w:t>
      </w:r>
      <w:r w:rsidRPr="00453189">
        <w:rPr>
          <w:rFonts w:ascii="Times New Roman" w:hAnsi="Times New Roman" w:cs="Times New Roman"/>
        </w:rPr>
        <w:t>A</w:t>
      </w:r>
      <w:r>
        <w:rPr>
          <w:rFonts w:ascii="Times New Roman" w:hAnsi="Times New Roman" w:cs="Times New Roman"/>
        </w:rPr>
        <w:t>COs in November and December 2020. We interviewed two leading experts in medical coding and billing to understand how new waiver services – particularly telehealth – were billed, and how to identify those services in claims data. We analyzed 2020 monthly Medicare claims data for 28 million Medicare beneficiaries to examine trends in service utilization for both ACO-attributed and non-ACO beneficiaries</w:t>
      </w:r>
      <w:r w:rsidRPr="00453189">
        <w:rPr>
          <w:rFonts w:ascii="Times New Roman" w:hAnsi="Times New Roman" w:cs="Times New Roman"/>
        </w:rPr>
        <w:t xml:space="preserve"> </w:t>
      </w:r>
    </w:p>
    <w:p w14:paraId="3C892E06" w14:textId="44BA9E01" w:rsidR="004966B8" w:rsidRPr="0089043A" w:rsidRDefault="004966B8" w:rsidP="001A1DA3">
      <w:pPr>
        <w:spacing w:before="120" w:after="120" w:line="276" w:lineRule="auto"/>
        <w:ind w:left="1080" w:right="1170"/>
        <w:rPr>
          <w:rFonts w:ascii="Times New Roman" w:hAnsi="Times New Roman" w:cs="Times New Roman"/>
          <w:b/>
          <w:bCs/>
        </w:rPr>
      </w:pPr>
      <w:r w:rsidRPr="0089043A">
        <w:rPr>
          <w:rFonts w:ascii="Times New Roman" w:hAnsi="Times New Roman" w:cs="Times New Roman"/>
          <w:b/>
          <w:bCs/>
        </w:rPr>
        <w:t>Accountable Care Organizations</w:t>
      </w:r>
    </w:p>
    <w:p w14:paraId="75B7818E" w14:textId="13399CEF" w:rsidR="004966B8" w:rsidRPr="00453189"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ACOs are networks of providers that en</w:t>
      </w:r>
      <w:r w:rsidR="0004426F">
        <w:rPr>
          <w:rFonts w:ascii="Times New Roman" w:hAnsi="Times New Roman" w:cs="Times New Roman"/>
        </w:rPr>
        <w:t>gage in</w:t>
      </w:r>
      <w:r>
        <w:rPr>
          <w:rFonts w:ascii="Times New Roman" w:hAnsi="Times New Roman" w:cs="Times New Roman"/>
        </w:rPr>
        <w:t xml:space="preserve"> contracts where they are responsible for managing </w:t>
      </w:r>
      <w:r w:rsidR="0004426F">
        <w:rPr>
          <w:rFonts w:ascii="Times New Roman" w:hAnsi="Times New Roman" w:cs="Times New Roman"/>
        </w:rPr>
        <w:t xml:space="preserve">a defined group of attributed beneficiaries with payment tied to an overall spending </w:t>
      </w:r>
      <w:r>
        <w:rPr>
          <w:rFonts w:ascii="Times New Roman" w:hAnsi="Times New Roman" w:cs="Times New Roman"/>
        </w:rPr>
        <w:t>target. ACO</w:t>
      </w:r>
      <w:r w:rsidR="0004426F">
        <w:rPr>
          <w:rFonts w:ascii="Times New Roman" w:hAnsi="Times New Roman" w:cs="Times New Roman"/>
        </w:rPr>
        <w:t>s</w:t>
      </w:r>
      <w:r>
        <w:rPr>
          <w:rFonts w:ascii="Times New Roman" w:hAnsi="Times New Roman" w:cs="Times New Roman"/>
        </w:rPr>
        <w:t xml:space="preserve"> share in savings if spending </w:t>
      </w:r>
      <w:r w:rsidR="0004426F">
        <w:rPr>
          <w:rFonts w:ascii="Times New Roman" w:hAnsi="Times New Roman" w:cs="Times New Roman"/>
        </w:rPr>
        <w:t xml:space="preserve">for their beneficiaries </w:t>
      </w:r>
      <w:r>
        <w:rPr>
          <w:rFonts w:ascii="Times New Roman" w:hAnsi="Times New Roman" w:cs="Times New Roman"/>
        </w:rPr>
        <w:t xml:space="preserve">is less than the annual target </w:t>
      </w:r>
      <w:proofErr w:type="gramStart"/>
      <w:r>
        <w:rPr>
          <w:rFonts w:ascii="Times New Roman" w:hAnsi="Times New Roman" w:cs="Times New Roman"/>
        </w:rPr>
        <w:t>as long as</w:t>
      </w:r>
      <w:proofErr w:type="gramEnd"/>
      <w:r>
        <w:rPr>
          <w:rFonts w:ascii="Times New Roman" w:hAnsi="Times New Roman" w:cs="Times New Roman"/>
        </w:rPr>
        <w:t xml:space="preserve"> they </w:t>
      </w:r>
      <w:r w:rsidR="0004426F">
        <w:rPr>
          <w:rFonts w:ascii="Times New Roman" w:hAnsi="Times New Roman" w:cs="Times New Roman"/>
        </w:rPr>
        <w:t>meet</w:t>
      </w:r>
      <w:r>
        <w:rPr>
          <w:rFonts w:ascii="Times New Roman" w:hAnsi="Times New Roman" w:cs="Times New Roman"/>
        </w:rPr>
        <w:t xml:space="preserve"> the contract’s quality performance standards. In Medicare, the budget includes all Part A (facility) and Part B (professional) services but does not include Part D (prescription drugs). ACOs are extremely diverse. Some are organized around large integrated delivery systems while others are formed around </w:t>
      </w:r>
      <w:r>
        <w:rPr>
          <w:rFonts w:ascii="Times New Roman" w:hAnsi="Times New Roman" w:cs="Times New Roman"/>
        </w:rPr>
        <w:lastRenderedPageBreak/>
        <w:t xml:space="preserve">community hospitals or independent medical groups. In some organizations only certain providers participate in ACO contracts while in others the provider group is synonymous with the ACO. Some groups participate in a single ACO contract whereas others have such contracts with multiple payers. The ACO executives we interviewed were focused on the full complement of providers and patients in their organizations regardless of </w:t>
      </w:r>
      <w:proofErr w:type="gramStart"/>
      <w:r>
        <w:rPr>
          <w:rFonts w:ascii="Times New Roman" w:hAnsi="Times New Roman" w:cs="Times New Roman"/>
        </w:rPr>
        <w:t>whether or not</w:t>
      </w:r>
      <w:proofErr w:type="gramEnd"/>
      <w:r>
        <w:rPr>
          <w:rFonts w:ascii="Times New Roman" w:hAnsi="Times New Roman" w:cs="Times New Roman"/>
        </w:rPr>
        <w:t xml:space="preserve"> they participated in the ACO. Below, we summarize our findings from the executive interviews and our analysis </w:t>
      </w:r>
      <w:r w:rsidR="004D3143">
        <w:rPr>
          <w:rFonts w:ascii="Times New Roman" w:hAnsi="Times New Roman" w:cs="Times New Roman"/>
        </w:rPr>
        <w:t xml:space="preserve">of </w:t>
      </w:r>
      <w:r>
        <w:rPr>
          <w:rFonts w:ascii="Times New Roman" w:hAnsi="Times New Roman" w:cs="Times New Roman"/>
        </w:rPr>
        <w:t xml:space="preserve">utilization trends during the pandemic.    </w:t>
      </w:r>
    </w:p>
    <w:p w14:paraId="32189AF7" w14:textId="7C052A0B" w:rsidR="004966B8" w:rsidRPr="00AF7ECB" w:rsidRDefault="004966B8" w:rsidP="001A1DA3">
      <w:pPr>
        <w:spacing w:before="120" w:after="120" w:line="276" w:lineRule="auto"/>
        <w:ind w:left="1080" w:right="1170"/>
        <w:rPr>
          <w:rFonts w:ascii="Times New Roman" w:hAnsi="Times New Roman" w:cs="Times New Roman"/>
          <w:b/>
          <w:bCs/>
        </w:rPr>
      </w:pPr>
      <w:r w:rsidRPr="004966B8">
        <w:rPr>
          <w:rFonts w:ascii="Times New Roman" w:hAnsi="Times New Roman" w:cs="Times New Roman"/>
          <w:b/>
          <w:bCs/>
        </w:rPr>
        <w:t>ACO and Health System Responses to the Pandemic</w:t>
      </w:r>
      <w:r>
        <w:rPr>
          <w:rFonts w:ascii="Times New Roman" w:hAnsi="Times New Roman" w:cs="Times New Roman"/>
          <w:b/>
          <w:bCs/>
        </w:rPr>
        <w:t xml:space="preserve"> </w:t>
      </w:r>
    </w:p>
    <w:p w14:paraId="74FDB0EC" w14:textId="4459D6AC"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ACO executives had two main priorities at the beginning of the pandemic: maximizing patient and staff safety; and maintaining financial solvency. Safety required ensuring providers had sufficient personal protective equipment (PPE), </w:t>
      </w:r>
      <w:r w:rsidR="004D3143">
        <w:rPr>
          <w:rFonts w:ascii="Times New Roman" w:hAnsi="Times New Roman" w:cs="Times New Roman"/>
        </w:rPr>
        <w:t xml:space="preserve">staff </w:t>
      </w:r>
      <w:r>
        <w:rPr>
          <w:rFonts w:ascii="Times New Roman" w:hAnsi="Times New Roman" w:cs="Times New Roman"/>
        </w:rPr>
        <w:t>training in infection control protocols, and operating procedures to limit the spread of COVID-19. Financial solvency required rapidly establishing the capability to conduct virtual visits so providers could continue to see patients and bill for services.</w:t>
      </w:r>
    </w:p>
    <w:p w14:paraId="1CCA234E" w14:textId="64A7E609" w:rsidR="004966B8" w:rsidRPr="00453189"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Before the pandemic, some commercial payers covered select telehealth services albeit at relatively low payment rates. Medicare coverage of telehealth was primarily limited to rural areas and required patients to come to an “originating site” like a hospital or physician office for </w:t>
      </w:r>
      <w:r w:rsidR="004D3143">
        <w:rPr>
          <w:rFonts w:ascii="Times New Roman" w:hAnsi="Times New Roman" w:cs="Times New Roman"/>
        </w:rPr>
        <w:t>a virtual</w:t>
      </w:r>
      <w:r>
        <w:rPr>
          <w:rFonts w:ascii="Times New Roman" w:hAnsi="Times New Roman" w:cs="Times New Roman"/>
        </w:rPr>
        <w:t xml:space="preserve"> visit. </w:t>
      </w:r>
      <w:r w:rsidR="00230F41" w:rsidRPr="00453189">
        <w:rPr>
          <w:rFonts w:ascii="Times New Roman" w:hAnsi="Times New Roman" w:cs="Times New Roman"/>
        </w:rPr>
        <w:t>O</w:t>
      </w:r>
      <w:r w:rsidR="00230F41">
        <w:rPr>
          <w:rFonts w:ascii="Times New Roman" w:hAnsi="Times New Roman" w:cs="Times New Roman"/>
        </w:rPr>
        <w:t xml:space="preserve">nly one of the seven </w:t>
      </w:r>
      <w:r w:rsidR="00230F41" w:rsidRPr="00453189">
        <w:rPr>
          <w:rFonts w:ascii="Times New Roman" w:hAnsi="Times New Roman" w:cs="Times New Roman"/>
        </w:rPr>
        <w:t>ACOs we interviewed</w:t>
      </w:r>
      <w:r w:rsidR="00230F41">
        <w:rPr>
          <w:rFonts w:ascii="Times New Roman" w:hAnsi="Times New Roman" w:cs="Times New Roman"/>
        </w:rPr>
        <w:t xml:space="preserve"> used </w:t>
      </w:r>
      <w:r w:rsidR="00230F41" w:rsidRPr="00453189">
        <w:rPr>
          <w:rFonts w:ascii="Times New Roman" w:hAnsi="Times New Roman" w:cs="Times New Roman"/>
        </w:rPr>
        <w:t xml:space="preserve">telehealth </w:t>
      </w:r>
      <w:r w:rsidR="00230F41">
        <w:rPr>
          <w:rFonts w:ascii="Times New Roman" w:hAnsi="Times New Roman" w:cs="Times New Roman"/>
        </w:rPr>
        <w:t xml:space="preserve">prior to the pandemic, accounting for </w:t>
      </w:r>
      <w:r w:rsidR="00230F41" w:rsidRPr="00453189">
        <w:rPr>
          <w:rFonts w:ascii="Times New Roman" w:hAnsi="Times New Roman" w:cs="Times New Roman"/>
        </w:rPr>
        <w:t xml:space="preserve">2% </w:t>
      </w:r>
      <w:r w:rsidR="00230F41">
        <w:rPr>
          <w:rFonts w:ascii="Times New Roman" w:hAnsi="Times New Roman" w:cs="Times New Roman"/>
        </w:rPr>
        <w:t xml:space="preserve">to </w:t>
      </w:r>
      <w:r w:rsidR="00230F41" w:rsidRPr="00453189">
        <w:rPr>
          <w:rFonts w:ascii="Times New Roman" w:hAnsi="Times New Roman" w:cs="Times New Roman"/>
        </w:rPr>
        <w:t xml:space="preserve">4% of </w:t>
      </w:r>
      <w:r w:rsidR="00230F41">
        <w:rPr>
          <w:rFonts w:ascii="Times New Roman" w:hAnsi="Times New Roman" w:cs="Times New Roman"/>
        </w:rPr>
        <w:t xml:space="preserve">its </w:t>
      </w:r>
      <w:r w:rsidR="00230F41" w:rsidRPr="00453189">
        <w:rPr>
          <w:rFonts w:ascii="Times New Roman" w:hAnsi="Times New Roman" w:cs="Times New Roman"/>
        </w:rPr>
        <w:t xml:space="preserve">total </w:t>
      </w:r>
      <w:r w:rsidR="00230F41">
        <w:rPr>
          <w:rFonts w:ascii="Times New Roman" w:hAnsi="Times New Roman" w:cs="Times New Roman"/>
        </w:rPr>
        <w:t xml:space="preserve">patient </w:t>
      </w:r>
      <w:r w:rsidR="00230F41" w:rsidRPr="00453189">
        <w:rPr>
          <w:rFonts w:ascii="Times New Roman" w:hAnsi="Times New Roman" w:cs="Times New Roman"/>
        </w:rPr>
        <w:t>visits</w:t>
      </w:r>
      <w:r w:rsidR="00230F41">
        <w:rPr>
          <w:rFonts w:ascii="Times New Roman" w:hAnsi="Times New Roman" w:cs="Times New Roman"/>
        </w:rPr>
        <w:t xml:space="preserve">. </w:t>
      </w:r>
      <w:r>
        <w:rPr>
          <w:rFonts w:ascii="Times New Roman" w:hAnsi="Times New Roman" w:cs="Times New Roman"/>
        </w:rPr>
        <w:t xml:space="preserve">As soon as CMS expanded </w:t>
      </w:r>
      <w:r w:rsidR="004D3143">
        <w:rPr>
          <w:rFonts w:ascii="Times New Roman" w:hAnsi="Times New Roman" w:cs="Times New Roman"/>
        </w:rPr>
        <w:t xml:space="preserve">its </w:t>
      </w:r>
      <w:r>
        <w:rPr>
          <w:rFonts w:ascii="Times New Roman" w:hAnsi="Times New Roman" w:cs="Times New Roman"/>
        </w:rPr>
        <w:t xml:space="preserve">coverage for telehealth services, most US provider groups began urgently preparing to conduct virtual visits. </w:t>
      </w:r>
    </w:p>
    <w:p w14:paraId="049CD6DE" w14:textId="63142D61"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Health systems began a r</w:t>
      </w:r>
      <w:r w:rsidRPr="00453189">
        <w:rPr>
          <w:rFonts w:ascii="Times New Roman" w:hAnsi="Times New Roman" w:cs="Times New Roman"/>
        </w:rPr>
        <w:t xml:space="preserve">apid </w:t>
      </w:r>
      <w:r>
        <w:rPr>
          <w:rFonts w:ascii="Times New Roman" w:hAnsi="Times New Roman" w:cs="Times New Roman"/>
        </w:rPr>
        <w:t xml:space="preserve">push to evaluate telehealth solutions and select one to deploy for their clinicians. Many larger systems </w:t>
      </w:r>
      <w:r w:rsidR="00230F41">
        <w:rPr>
          <w:rFonts w:ascii="Times New Roman" w:hAnsi="Times New Roman" w:cs="Times New Roman"/>
        </w:rPr>
        <w:t xml:space="preserve">already </w:t>
      </w:r>
      <w:r>
        <w:rPr>
          <w:rFonts w:ascii="Times New Roman" w:hAnsi="Times New Roman" w:cs="Times New Roman"/>
        </w:rPr>
        <w:t xml:space="preserve">had access to a telehealth platform through their electronic medical record (EMR); this was typically the solution </w:t>
      </w:r>
      <w:r w:rsidR="004D3143">
        <w:rPr>
          <w:rFonts w:ascii="Times New Roman" w:hAnsi="Times New Roman" w:cs="Times New Roman"/>
        </w:rPr>
        <w:t>these</w:t>
      </w:r>
      <w:r>
        <w:rPr>
          <w:rFonts w:ascii="Times New Roman" w:hAnsi="Times New Roman" w:cs="Times New Roman"/>
        </w:rPr>
        <w:t xml:space="preserve"> groups selected for</w:t>
      </w:r>
      <w:r w:rsidR="004D3143">
        <w:rPr>
          <w:rFonts w:ascii="Times New Roman" w:hAnsi="Times New Roman" w:cs="Times New Roman"/>
        </w:rPr>
        <w:t xml:space="preserve"> their</w:t>
      </w:r>
      <w:r>
        <w:rPr>
          <w:rFonts w:ascii="Times New Roman" w:hAnsi="Times New Roman" w:cs="Times New Roman"/>
        </w:rPr>
        <w:t xml:space="preserve"> employed physicians. Equipping independent physicians was more challenging because many have small staff</w:t>
      </w:r>
      <w:r w:rsidR="004D3143">
        <w:rPr>
          <w:rFonts w:ascii="Times New Roman" w:hAnsi="Times New Roman" w:cs="Times New Roman"/>
        </w:rPr>
        <w:t>s</w:t>
      </w:r>
      <w:r>
        <w:rPr>
          <w:rFonts w:ascii="Times New Roman" w:hAnsi="Times New Roman" w:cs="Times New Roman"/>
        </w:rPr>
        <w:t xml:space="preserve">, limited resources and disparate EMR systems. </w:t>
      </w:r>
      <w:r w:rsidRPr="00453189">
        <w:rPr>
          <w:rFonts w:ascii="Times New Roman" w:hAnsi="Times New Roman" w:cs="Times New Roman"/>
        </w:rPr>
        <w:t xml:space="preserve">ACO </w:t>
      </w:r>
      <w:r>
        <w:rPr>
          <w:rFonts w:ascii="Times New Roman" w:hAnsi="Times New Roman" w:cs="Times New Roman"/>
        </w:rPr>
        <w:t>teams</w:t>
      </w:r>
      <w:r w:rsidRPr="00453189">
        <w:rPr>
          <w:rFonts w:ascii="Times New Roman" w:hAnsi="Times New Roman" w:cs="Times New Roman"/>
        </w:rPr>
        <w:t xml:space="preserve"> </w:t>
      </w:r>
      <w:r>
        <w:rPr>
          <w:rFonts w:ascii="Times New Roman" w:hAnsi="Times New Roman" w:cs="Times New Roman"/>
        </w:rPr>
        <w:t>were</w:t>
      </w:r>
      <w:r w:rsidRPr="00453189">
        <w:rPr>
          <w:rFonts w:ascii="Times New Roman" w:hAnsi="Times New Roman" w:cs="Times New Roman"/>
        </w:rPr>
        <w:t xml:space="preserve"> </w:t>
      </w:r>
      <w:r w:rsidR="004D3143">
        <w:rPr>
          <w:rFonts w:ascii="Times New Roman" w:hAnsi="Times New Roman" w:cs="Times New Roman"/>
        </w:rPr>
        <w:t>d</w:t>
      </w:r>
      <w:r>
        <w:rPr>
          <w:rFonts w:ascii="Times New Roman" w:hAnsi="Times New Roman" w:cs="Times New Roman"/>
        </w:rPr>
        <w:t>e</w:t>
      </w:r>
      <w:r w:rsidR="004D3143">
        <w:rPr>
          <w:rFonts w:ascii="Times New Roman" w:hAnsi="Times New Roman" w:cs="Times New Roman"/>
        </w:rPr>
        <w:t>p</w:t>
      </w:r>
      <w:r>
        <w:rPr>
          <w:rFonts w:ascii="Times New Roman" w:hAnsi="Times New Roman" w:cs="Times New Roman"/>
        </w:rPr>
        <w:t xml:space="preserve">loyed to </w:t>
      </w:r>
      <w:r w:rsidRPr="00453189">
        <w:rPr>
          <w:rFonts w:ascii="Times New Roman" w:hAnsi="Times New Roman" w:cs="Times New Roman"/>
        </w:rPr>
        <w:t xml:space="preserve">help independent practices set up </w:t>
      </w:r>
      <w:r>
        <w:rPr>
          <w:rFonts w:ascii="Times New Roman" w:hAnsi="Times New Roman" w:cs="Times New Roman"/>
        </w:rPr>
        <w:t xml:space="preserve">and operate telehealth </w:t>
      </w:r>
      <w:r w:rsidRPr="00453189">
        <w:rPr>
          <w:rFonts w:ascii="Times New Roman" w:hAnsi="Times New Roman" w:cs="Times New Roman"/>
        </w:rPr>
        <w:t xml:space="preserve">technology and </w:t>
      </w:r>
      <w:r w:rsidR="004D3143">
        <w:rPr>
          <w:rFonts w:ascii="Times New Roman" w:hAnsi="Times New Roman" w:cs="Times New Roman"/>
        </w:rPr>
        <w:t xml:space="preserve">to </w:t>
      </w:r>
      <w:r>
        <w:rPr>
          <w:rFonts w:ascii="Times New Roman" w:hAnsi="Times New Roman" w:cs="Times New Roman"/>
        </w:rPr>
        <w:t>educat</w:t>
      </w:r>
      <w:r w:rsidR="004D3143">
        <w:rPr>
          <w:rFonts w:ascii="Times New Roman" w:hAnsi="Times New Roman" w:cs="Times New Roman"/>
        </w:rPr>
        <w:t>e</w:t>
      </w:r>
      <w:r>
        <w:rPr>
          <w:rFonts w:ascii="Times New Roman" w:hAnsi="Times New Roman" w:cs="Times New Roman"/>
        </w:rPr>
        <w:t xml:space="preserve"> providers about Medicare</w:t>
      </w:r>
      <w:r w:rsidRPr="00453189">
        <w:rPr>
          <w:rFonts w:ascii="Times New Roman" w:hAnsi="Times New Roman" w:cs="Times New Roman"/>
        </w:rPr>
        <w:t xml:space="preserve"> billing and coding regulations</w:t>
      </w:r>
      <w:r w:rsidR="004D3143">
        <w:rPr>
          <w:rFonts w:ascii="Times New Roman" w:hAnsi="Times New Roman" w:cs="Times New Roman"/>
        </w:rPr>
        <w:t>,</w:t>
      </w:r>
      <w:r>
        <w:rPr>
          <w:rFonts w:ascii="Times New Roman" w:hAnsi="Times New Roman" w:cs="Times New Roman"/>
        </w:rPr>
        <w:t xml:space="preserve"> which were updated frequently. Very important for the initial deployment of virtual visits were CMS w</w:t>
      </w:r>
      <w:r w:rsidRPr="00453189">
        <w:rPr>
          <w:rFonts w:ascii="Times New Roman" w:hAnsi="Times New Roman" w:cs="Times New Roman"/>
        </w:rPr>
        <w:t>aivers allow</w:t>
      </w:r>
      <w:r>
        <w:rPr>
          <w:rFonts w:ascii="Times New Roman" w:hAnsi="Times New Roman" w:cs="Times New Roman"/>
        </w:rPr>
        <w:t>ing</w:t>
      </w:r>
      <w:r w:rsidRPr="00453189">
        <w:rPr>
          <w:rFonts w:ascii="Times New Roman" w:hAnsi="Times New Roman" w:cs="Times New Roman"/>
        </w:rPr>
        <w:t xml:space="preserve"> </w:t>
      </w:r>
      <w:r>
        <w:rPr>
          <w:rFonts w:ascii="Times New Roman" w:hAnsi="Times New Roman" w:cs="Times New Roman"/>
        </w:rPr>
        <w:t xml:space="preserve">the </w:t>
      </w:r>
      <w:r w:rsidRPr="00453189">
        <w:rPr>
          <w:rFonts w:ascii="Times New Roman" w:hAnsi="Times New Roman" w:cs="Times New Roman"/>
        </w:rPr>
        <w:t xml:space="preserve">use of non-HIPPA compliant platforms like Facetime </w:t>
      </w:r>
      <w:r>
        <w:rPr>
          <w:rFonts w:ascii="Times New Roman" w:hAnsi="Times New Roman" w:cs="Times New Roman"/>
        </w:rPr>
        <w:t>and Zoom while providers were assessing more robust platforms.</w:t>
      </w:r>
    </w:p>
    <w:p w14:paraId="6296C5B3" w14:textId="50C93A95"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Nationally, telehealth service use peaked in April 2020. </w:t>
      </w:r>
      <w:r w:rsidR="004D3143">
        <w:rPr>
          <w:rFonts w:ascii="Times New Roman" w:hAnsi="Times New Roman" w:cs="Times New Roman"/>
        </w:rPr>
        <w:t>Our interview r</w:t>
      </w:r>
      <w:r>
        <w:rPr>
          <w:rFonts w:ascii="Times New Roman" w:hAnsi="Times New Roman" w:cs="Times New Roman"/>
        </w:rPr>
        <w:t xml:space="preserve">espondents reported telehealth rates of 40% - 50% of total visits during that period across all payers, with one executive reporting </w:t>
      </w:r>
      <w:r w:rsidR="004D3143">
        <w:rPr>
          <w:rFonts w:ascii="Times New Roman" w:hAnsi="Times New Roman" w:cs="Times New Roman"/>
        </w:rPr>
        <w:t xml:space="preserve">an </w:t>
      </w:r>
      <w:r>
        <w:rPr>
          <w:rFonts w:ascii="Times New Roman" w:hAnsi="Times New Roman" w:cs="Times New Roman"/>
        </w:rPr>
        <w:t xml:space="preserve">80% </w:t>
      </w:r>
      <w:r w:rsidR="004D3143">
        <w:rPr>
          <w:rFonts w:ascii="Times New Roman" w:hAnsi="Times New Roman" w:cs="Times New Roman"/>
        </w:rPr>
        <w:t>telehealth visit rate</w:t>
      </w:r>
      <w:r>
        <w:rPr>
          <w:rFonts w:ascii="Times New Roman" w:hAnsi="Times New Roman" w:cs="Times New Roman"/>
        </w:rPr>
        <w:t xml:space="preserve"> at the peak of the pandemic. Recent research concluded that telehealth made up </w:t>
      </w:r>
      <w:r w:rsidR="004D3143">
        <w:rPr>
          <w:rFonts w:ascii="Times New Roman" w:hAnsi="Times New Roman" w:cs="Times New Roman"/>
        </w:rPr>
        <w:t xml:space="preserve">about </w:t>
      </w:r>
      <w:r>
        <w:rPr>
          <w:rFonts w:ascii="Times New Roman" w:hAnsi="Times New Roman" w:cs="Times New Roman"/>
        </w:rPr>
        <w:t xml:space="preserve">30 percent of all ambulatory visits from March 18 – June 16, 2020. Telehealth visit rates were higher for patients under 60 years old (30 – 39% depending on age cohort) </w:t>
      </w:r>
      <w:r w:rsidR="004D3143">
        <w:rPr>
          <w:rFonts w:ascii="Times New Roman" w:hAnsi="Times New Roman" w:cs="Times New Roman"/>
        </w:rPr>
        <w:t xml:space="preserve">and </w:t>
      </w:r>
      <w:r>
        <w:rPr>
          <w:rFonts w:ascii="Times New Roman" w:hAnsi="Times New Roman" w:cs="Times New Roman"/>
        </w:rPr>
        <w:t>were 23.7% for patients aged 65 or older.</w:t>
      </w:r>
      <w:r>
        <w:rPr>
          <w:rStyle w:val="FootnoteReference"/>
          <w:rFonts w:ascii="Times New Roman" w:hAnsi="Times New Roman" w:cs="Times New Roman"/>
        </w:rPr>
        <w:footnoteReference w:id="1"/>
      </w:r>
    </w:p>
    <w:p w14:paraId="0F391C17" w14:textId="52D935C7"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lastRenderedPageBreak/>
        <w:t xml:space="preserve">We conducted our own analysis of Medicare telehealth utilization through November 2021. </w:t>
      </w:r>
      <w:r w:rsidRPr="004966B8">
        <w:rPr>
          <w:rFonts w:ascii="Times New Roman" w:hAnsi="Times New Roman" w:cs="Times New Roman"/>
          <w:b/>
          <w:bCs/>
        </w:rPr>
        <w:t>Exhibit 1</w:t>
      </w:r>
      <w:r>
        <w:rPr>
          <w:rFonts w:ascii="Times New Roman" w:hAnsi="Times New Roman" w:cs="Times New Roman"/>
        </w:rPr>
        <w:t xml:space="preserve"> shows total Medicare ambulatory visits including telehealth visits along with the percentage of total visits with telehealth. We found that Medicare telehealth visits were about 23% of total visits in April 2020 and then declined steadily to about 8% of total visits by November 2020.</w:t>
      </w:r>
    </w:p>
    <w:p w14:paraId="58C8B601" w14:textId="77777777" w:rsidR="004966B8" w:rsidRPr="000C4BC5" w:rsidRDefault="004966B8" w:rsidP="001A1DA3">
      <w:pPr>
        <w:spacing w:before="120" w:after="120" w:line="276" w:lineRule="auto"/>
        <w:ind w:left="1080" w:right="1170"/>
        <w:jc w:val="center"/>
        <w:rPr>
          <w:rFonts w:ascii="Times New Roman" w:hAnsi="Times New Roman" w:cs="Times New Roman"/>
          <w:b/>
          <w:bCs/>
        </w:rPr>
      </w:pPr>
      <w:r w:rsidRPr="000C4BC5">
        <w:rPr>
          <w:rFonts w:ascii="Times New Roman" w:hAnsi="Times New Roman" w:cs="Times New Roman"/>
          <w:b/>
          <w:bCs/>
        </w:rPr>
        <w:t>Exhibit 1</w:t>
      </w:r>
    </w:p>
    <w:p w14:paraId="26FB2B2B" w14:textId="77777777"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noProof/>
        </w:rPr>
        <w:drawing>
          <wp:inline distT="0" distB="0" distL="0" distR="0" wp14:anchorId="3F792E54" wp14:editId="161ECDB4">
            <wp:extent cx="6161532" cy="3884531"/>
            <wp:effectExtent l="0" t="0" r="0" b="1905"/>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42663" cy="3935680"/>
                    </a:xfrm>
                    <a:prstGeom prst="rect">
                      <a:avLst/>
                    </a:prstGeom>
                  </pic:spPr>
                </pic:pic>
              </a:graphicData>
            </a:graphic>
          </wp:inline>
        </w:drawing>
      </w:r>
    </w:p>
    <w:p w14:paraId="0CB3CC31" w14:textId="77777777" w:rsidR="004966B8" w:rsidRPr="00B8325C" w:rsidRDefault="004966B8" w:rsidP="0084116E">
      <w:pPr>
        <w:spacing w:line="276" w:lineRule="auto"/>
        <w:ind w:left="1080" w:right="1166"/>
        <w:rPr>
          <w:rFonts w:ascii="Times New Roman" w:hAnsi="Times New Roman" w:cs="Times New Roman"/>
          <w:sz w:val="20"/>
          <w:szCs w:val="20"/>
        </w:rPr>
      </w:pPr>
      <w:r w:rsidRPr="00B8325C">
        <w:rPr>
          <w:rFonts w:ascii="Times New Roman" w:hAnsi="Times New Roman" w:cs="Times New Roman"/>
          <w:sz w:val="20"/>
          <w:szCs w:val="20"/>
        </w:rPr>
        <w:t>Source: IAC analysis of monthly claims data. Analysis reflects all services eligible for telehealth. Adjusted visits reflect visits not eligible for telehealth billing in that month</w:t>
      </w:r>
      <w:r>
        <w:rPr>
          <w:rFonts w:ascii="Times New Roman" w:hAnsi="Times New Roman" w:cs="Times New Roman"/>
          <w:sz w:val="20"/>
          <w:szCs w:val="20"/>
        </w:rPr>
        <w:t xml:space="preserve"> so that total visit rate is consistent across all months</w:t>
      </w:r>
      <w:r w:rsidRPr="00B8325C">
        <w:rPr>
          <w:rFonts w:ascii="Times New Roman" w:hAnsi="Times New Roman" w:cs="Times New Roman"/>
          <w:sz w:val="20"/>
          <w:szCs w:val="20"/>
        </w:rPr>
        <w:t>.</w:t>
      </w:r>
    </w:p>
    <w:p w14:paraId="610E312A" w14:textId="77777777" w:rsidR="0084116E" w:rsidRDefault="0084116E" w:rsidP="0084116E">
      <w:pPr>
        <w:spacing w:line="276" w:lineRule="auto"/>
        <w:ind w:left="1080" w:right="1166"/>
        <w:rPr>
          <w:rFonts w:ascii="Times New Roman" w:hAnsi="Times New Roman" w:cs="Times New Roman"/>
        </w:rPr>
      </w:pPr>
    </w:p>
    <w:p w14:paraId="744A080A" w14:textId="7B96D49B" w:rsidR="007D0445" w:rsidRDefault="004966B8" w:rsidP="0084116E">
      <w:pPr>
        <w:spacing w:line="276" w:lineRule="auto"/>
        <w:ind w:left="1080" w:right="1166"/>
        <w:rPr>
          <w:rFonts w:ascii="Times New Roman" w:hAnsi="Times New Roman" w:cs="Times New Roman"/>
        </w:rPr>
      </w:pPr>
      <w:r>
        <w:rPr>
          <w:rFonts w:ascii="Times New Roman" w:hAnsi="Times New Roman" w:cs="Times New Roman"/>
        </w:rPr>
        <w:t>Medicare telehealth utilization peaked at about 200 monthly visits per 1,000 beneficiaries in April 2020 and then declined to just above 100 monthly visits per beneficiary by November (</w:t>
      </w:r>
      <w:r w:rsidRPr="000C4BC5">
        <w:rPr>
          <w:rFonts w:ascii="Times New Roman" w:hAnsi="Times New Roman" w:cs="Times New Roman"/>
          <w:b/>
          <w:bCs/>
        </w:rPr>
        <w:t>Exhibit 2</w:t>
      </w:r>
      <w:r>
        <w:rPr>
          <w:rFonts w:ascii="Times New Roman" w:hAnsi="Times New Roman" w:cs="Times New Roman"/>
        </w:rPr>
        <w:t xml:space="preserve">). </w:t>
      </w:r>
      <w:r w:rsidR="00572E3A">
        <w:rPr>
          <w:rFonts w:ascii="Times New Roman" w:hAnsi="Times New Roman" w:cs="Times New Roman"/>
        </w:rPr>
        <w:t>Tele</w:t>
      </w:r>
      <w:r w:rsidR="001022B5">
        <w:rPr>
          <w:rFonts w:ascii="Times New Roman" w:hAnsi="Times New Roman" w:cs="Times New Roman"/>
        </w:rPr>
        <w:t xml:space="preserve">health </w:t>
      </w:r>
      <w:r w:rsidR="00572E3A">
        <w:rPr>
          <w:rFonts w:ascii="Times New Roman" w:hAnsi="Times New Roman" w:cs="Times New Roman"/>
        </w:rPr>
        <w:t xml:space="preserve">visit rates were twice as high for high-need, high-cost beneficiaries which we defined as individuals with </w:t>
      </w:r>
      <w:r w:rsidR="00A035D5">
        <w:rPr>
          <w:rFonts w:ascii="Times New Roman" w:hAnsi="Times New Roman" w:cs="Times New Roman"/>
        </w:rPr>
        <w:t xml:space="preserve">a diagnosis of Alzheimer’s, Atrial Fibrillation, COPD, heart failure or chronic kidney disease, and </w:t>
      </w:r>
      <w:r w:rsidR="00572E3A">
        <w:rPr>
          <w:rFonts w:ascii="Times New Roman" w:hAnsi="Times New Roman" w:cs="Times New Roman"/>
        </w:rPr>
        <w:t xml:space="preserve">a </w:t>
      </w:r>
      <w:r w:rsidR="00A035D5">
        <w:rPr>
          <w:rFonts w:ascii="Times New Roman" w:hAnsi="Times New Roman" w:cs="Times New Roman"/>
        </w:rPr>
        <w:t xml:space="preserve">prior </w:t>
      </w:r>
      <w:r w:rsidR="00572E3A">
        <w:rPr>
          <w:rFonts w:ascii="Times New Roman" w:hAnsi="Times New Roman" w:cs="Times New Roman"/>
        </w:rPr>
        <w:t>hospitalization, SNF stay</w:t>
      </w:r>
      <w:r w:rsidR="00A035D5">
        <w:rPr>
          <w:rFonts w:ascii="Times New Roman" w:hAnsi="Times New Roman" w:cs="Times New Roman"/>
        </w:rPr>
        <w:t xml:space="preserve"> of at least 14 days,</w:t>
      </w:r>
      <w:r w:rsidR="00572E3A">
        <w:rPr>
          <w:rFonts w:ascii="Times New Roman" w:hAnsi="Times New Roman" w:cs="Times New Roman"/>
        </w:rPr>
        <w:t xml:space="preserve"> or three ED visits in </w:t>
      </w:r>
      <w:r w:rsidR="00A035D5">
        <w:rPr>
          <w:rFonts w:ascii="Times New Roman" w:hAnsi="Times New Roman" w:cs="Times New Roman"/>
        </w:rPr>
        <w:t xml:space="preserve">2019. </w:t>
      </w:r>
      <w:r>
        <w:rPr>
          <w:rFonts w:ascii="Times New Roman" w:hAnsi="Times New Roman" w:cs="Times New Roman"/>
        </w:rPr>
        <w:t>Although ACO</w:t>
      </w:r>
      <w:r w:rsidR="00A035D5">
        <w:rPr>
          <w:rFonts w:ascii="Times New Roman" w:hAnsi="Times New Roman" w:cs="Times New Roman"/>
        </w:rPr>
        <w:t>s</w:t>
      </w:r>
      <w:r>
        <w:rPr>
          <w:rFonts w:ascii="Times New Roman" w:hAnsi="Times New Roman" w:cs="Times New Roman"/>
        </w:rPr>
        <w:t xml:space="preserve"> may have provided operational </w:t>
      </w:r>
      <w:r w:rsidR="00A035D5">
        <w:rPr>
          <w:rFonts w:ascii="Times New Roman" w:hAnsi="Times New Roman" w:cs="Times New Roman"/>
        </w:rPr>
        <w:t xml:space="preserve">support for providers to implement telehealth, we found that </w:t>
      </w:r>
      <w:r>
        <w:rPr>
          <w:rFonts w:ascii="Times New Roman" w:hAnsi="Times New Roman" w:cs="Times New Roman"/>
        </w:rPr>
        <w:t>average telehealth visit rates were nearly identical for Medicare ACO and non-ACO beneficiaries</w:t>
      </w:r>
      <w:r w:rsidR="004D3143">
        <w:rPr>
          <w:rFonts w:ascii="Times New Roman" w:hAnsi="Times New Roman" w:cs="Times New Roman"/>
        </w:rPr>
        <w:t xml:space="preserve">. </w:t>
      </w:r>
      <w:r>
        <w:rPr>
          <w:rFonts w:ascii="Times New Roman" w:hAnsi="Times New Roman" w:cs="Times New Roman"/>
        </w:rPr>
        <w:t xml:space="preserve">There was, however, substantial variation in rates across ACOs ranging from fewer than 50 </w:t>
      </w:r>
      <w:r w:rsidR="00230F41">
        <w:rPr>
          <w:rFonts w:ascii="Times New Roman" w:hAnsi="Times New Roman" w:cs="Times New Roman"/>
        </w:rPr>
        <w:t xml:space="preserve">telehealth </w:t>
      </w:r>
      <w:r w:rsidR="00A035D5">
        <w:rPr>
          <w:rFonts w:ascii="Times New Roman" w:hAnsi="Times New Roman" w:cs="Times New Roman"/>
        </w:rPr>
        <w:t xml:space="preserve">visits </w:t>
      </w:r>
      <w:r>
        <w:rPr>
          <w:rFonts w:ascii="Times New Roman" w:hAnsi="Times New Roman" w:cs="Times New Roman"/>
        </w:rPr>
        <w:t xml:space="preserve">per </w:t>
      </w:r>
      <w:r w:rsidR="00230F41">
        <w:rPr>
          <w:rFonts w:ascii="Times New Roman" w:hAnsi="Times New Roman" w:cs="Times New Roman"/>
        </w:rPr>
        <w:t>1,000</w:t>
      </w:r>
      <w:r>
        <w:rPr>
          <w:rFonts w:ascii="Times New Roman" w:hAnsi="Times New Roman" w:cs="Times New Roman"/>
        </w:rPr>
        <w:t xml:space="preserve"> </w:t>
      </w:r>
      <w:r w:rsidR="00230F41">
        <w:rPr>
          <w:rFonts w:ascii="Times New Roman" w:hAnsi="Times New Roman" w:cs="Times New Roman"/>
        </w:rPr>
        <w:t xml:space="preserve">Medicare beneficiaries </w:t>
      </w:r>
      <w:r>
        <w:rPr>
          <w:rFonts w:ascii="Times New Roman" w:hAnsi="Times New Roman" w:cs="Times New Roman"/>
        </w:rPr>
        <w:t xml:space="preserve">to more than 600 </w:t>
      </w:r>
      <w:r w:rsidR="00A035D5">
        <w:rPr>
          <w:rFonts w:ascii="Times New Roman" w:hAnsi="Times New Roman" w:cs="Times New Roman"/>
        </w:rPr>
        <w:t xml:space="preserve">visits </w:t>
      </w:r>
      <w:r>
        <w:rPr>
          <w:rFonts w:ascii="Times New Roman" w:hAnsi="Times New Roman" w:cs="Times New Roman"/>
        </w:rPr>
        <w:t xml:space="preserve">per </w:t>
      </w:r>
      <w:r w:rsidR="00230F41">
        <w:rPr>
          <w:rFonts w:ascii="Times New Roman" w:hAnsi="Times New Roman" w:cs="Times New Roman"/>
        </w:rPr>
        <w:t>1,000</w:t>
      </w:r>
      <w:r>
        <w:rPr>
          <w:rFonts w:ascii="Times New Roman" w:hAnsi="Times New Roman" w:cs="Times New Roman"/>
        </w:rPr>
        <w:t xml:space="preserve"> in April 2020 (</w:t>
      </w:r>
      <w:r w:rsidRPr="002C062B">
        <w:rPr>
          <w:rFonts w:ascii="Times New Roman" w:hAnsi="Times New Roman" w:cs="Times New Roman"/>
          <w:b/>
          <w:bCs/>
        </w:rPr>
        <w:t>Exhibit 3</w:t>
      </w:r>
      <w:r>
        <w:rPr>
          <w:rFonts w:ascii="Times New Roman" w:hAnsi="Times New Roman" w:cs="Times New Roman"/>
        </w:rPr>
        <w:t>).</w:t>
      </w:r>
    </w:p>
    <w:p w14:paraId="0641CCD9" w14:textId="0CCB74BC" w:rsidR="0084116E" w:rsidRDefault="0084116E" w:rsidP="0084116E">
      <w:pPr>
        <w:spacing w:line="276" w:lineRule="auto"/>
        <w:ind w:left="1080" w:right="1166"/>
        <w:rPr>
          <w:rFonts w:ascii="Times New Roman" w:hAnsi="Times New Roman" w:cs="Times New Roman"/>
          <w:b/>
          <w:bCs/>
        </w:rPr>
      </w:pPr>
      <w:r>
        <w:rPr>
          <w:rFonts w:ascii="Times New Roman" w:hAnsi="Times New Roman" w:cs="Times New Roman"/>
          <w:b/>
          <w:bCs/>
        </w:rPr>
        <w:br w:type="page"/>
      </w:r>
    </w:p>
    <w:p w14:paraId="067851F7" w14:textId="7880F4F1" w:rsidR="004966B8" w:rsidRPr="000C4BC5" w:rsidRDefault="004966B8" w:rsidP="001A1DA3">
      <w:pPr>
        <w:spacing w:before="120" w:after="120" w:line="276" w:lineRule="auto"/>
        <w:ind w:left="1080" w:right="1170"/>
        <w:jc w:val="center"/>
        <w:rPr>
          <w:rFonts w:ascii="Times New Roman" w:hAnsi="Times New Roman" w:cs="Times New Roman"/>
          <w:b/>
          <w:bCs/>
        </w:rPr>
      </w:pPr>
      <w:r w:rsidRPr="000C4BC5">
        <w:rPr>
          <w:rFonts w:ascii="Times New Roman" w:hAnsi="Times New Roman" w:cs="Times New Roman"/>
          <w:b/>
          <w:bCs/>
        </w:rPr>
        <w:lastRenderedPageBreak/>
        <w:t xml:space="preserve">Exhibit </w:t>
      </w:r>
      <w:r>
        <w:rPr>
          <w:rFonts w:ascii="Times New Roman" w:hAnsi="Times New Roman" w:cs="Times New Roman"/>
          <w:b/>
          <w:bCs/>
        </w:rPr>
        <w:t>2</w:t>
      </w:r>
    </w:p>
    <w:p w14:paraId="50ED160B" w14:textId="7AD941EF" w:rsidR="004966B8" w:rsidRDefault="007D0445" w:rsidP="001A1DA3">
      <w:pPr>
        <w:spacing w:before="120" w:after="120" w:line="276" w:lineRule="auto"/>
        <w:ind w:left="1080" w:right="1170"/>
        <w:rPr>
          <w:rFonts w:ascii="Times New Roman" w:hAnsi="Times New Roman" w:cs="Times New Roman"/>
        </w:rPr>
      </w:pPr>
      <w:r>
        <w:rPr>
          <w:rFonts w:ascii="Times New Roman" w:hAnsi="Times New Roman" w:cs="Times New Roman"/>
          <w:noProof/>
        </w:rPr>
        <w:drawing>
          <wp:inline distT="0" distB="0" distL="0" distR="0" wp14:anchorId="7BC35D2A" wp14:editId="42B74B2A">
            <wp:extent cx="6103104" cy="3303854"/>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87101" cy="3349325"/>
                    </a:xfrm>
                    <a:prstGeom prst="rect">
                      <a:avLst/>
                    </a:prstGeom>
                  </pic:spPr>
                </pic:pic>
              </a:graphicData>
            </a:graphic>
          </wp:inline>
        </w:drawing>
      </w:r>
    </w:p>
    <w:p w14:paraId="13702251" w14:textId="4F36FDBA" w:rsidR="004966B8" w:rsidRDefault="004966B8" w:rsidP="001A1DA3">
      <w:pPr>
        <w:spacing w:before="120" w:after="120" w:line="276" w:lineRule="auto"/>
        <w:ind w:left="1080" w:right="1170"/>
        <w:rPr>
          <w:rFonts w:ascii="Times New Roman" w:hAnsi="Times New Roman" w:cs="Times New Roman"/>
        </w:rPr>
      </w:pPr>
    </w:p>
    <w:p w14:paraId="4FE1303A" w14:textId="77777777" w:rsidR="004966B8" w:rsidRDefault="004966B8" w:rsidP="001A1DA3">
      <w:pPr>
        <w:spacing w:before="120" w:after="120" w:line="276" w:lineRule="auto"/>
        <w:ind w:left="1080" w:right="1170"/>
        <w:jc w:val="center"/>
        <w:rPr>
          <w:rFonts w:ascii="Times New Roman" w:hAnsi="Times New Roman" w:cs="Times New Roman"/>
          <w:b/>
          <w:bCs/>
        </w:rPr>
      </w:pPr>
      <w:r w:rsidRPr="002C062B">
        <w:rPr>
          <w:rFonts w:ascii="Times New Roman" w:hAnsi="Times New Roman" w:cs="Times New Roman"/>
          <w:b/>
          <w:bCs/>
        </w:rPr>
        <w:t>Exhibit 3</w:t>
      </w:r>
    </w:p>
    <w:p w14:paraId="0D0400C2" w14:textId="77777777" w:rsidR="004966B8" w:rsidRDefault="004966B8" w:rsidP="001A1DA3">
      <w:pPr>
        <w:spacing w:before="120" w:after="120" w:line="276" w:lineRule="auto"/>
        <w:ind w:left="1080" w:right="1170"/>
        <w:rPr>
          <w:rFonts w:ascii="Times New Roman" w:hAnsi="Times New Roman" w:cs="Times New Roman"/>
          <w:b/>
          <w:bCs/>
        </w:rPr>
      </w:pPr>
      <w:r>
        <w:rPr>
          <w:rFonts w:ascii="Times New Roman" w:hAnsi="Times New Roman" w:cs="Times New Roman"/>
          <w:noProof/>
        </w:rPr>
        <w:drawing>
          <wp:inline distT="0" distB="0" distL="0" distR="0" wp14:anchorId="1FA8575C" wp14:editId="182C36C5">
            <wp:extent cx="5943600" cy="3243580"/>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243580"/>
                    </a:xfrm>
                    <a:prstGeom prst="rect">
                      <a:avLst/>
                    </a:prstGeom>
                  </pic:spPr>
                </pic:pic>
              </a:graphicData>
            </a:graphic>
          </wp:inline>
        </w:drawing>
      </w:r>
    </w:p>
    <w:p w14:paraId="7CFC86D3" w14:textId="77777777" w:rsidR="0084116E" w:rsidRDefault="0084116E">
      <w:pPr>
        <w:rPr>
          <w:rFonts w:ascii="Times New Roman" w:hAnsi="Times New Roman" w:cs="Times New Roman"/>
        </w:rPr>
      </w:pPr>
      <w:r>
        <w:rPr>
          <w:rFonts w:ascii="Times New Roman" w:hAnsi="Times New Roman" w:cs="Times New Roman"/>
        </w:rPr>
        <w:br w:type="page"/>
      </w:r>
    </w:p>
    <w:p w14:paraId="46396B35" w14:textId="62226DF6"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lastRenderedPageBreak/>
        <w:t>In addition to telehealth</w:t>
      </w:r>
      <w:r w:rsidR="004D3143">
        <w:rPr>
          <w:rFonts w:ascii="Times New Roman" w:hAnsi="Times New Roman" w:cs="Times New Roman"/>
        </w:rPr>
        <w:t>, ACOs</w:t>
      </w:r>
      <w:r>
        <w:rPr>
          <w:rFonts w:ascii="Times New Roman" w:hAnsi="Times New Roman" w:cs="Times New Roman"/>
        </w:rPr>
        <w:t xml:space="preserve"> are also investing in remote patient monitoring (RPM). At the end of 2019, CMS added several new billing codes for RPM and allowed these services to be “incident to” the general supervision of a qualified health professional – expanding the opportunity to bill for RPM services when the supervising professional and the monitoring staff are not in the same location. Two </w:t>
      </w:r>
      <w:r w:rsidRPr="00453189">
        <w:rPr>
          <w:rFonts w:ascii="Times New Roman" w:hAnsi="Times New Roman" w:cs="Times New Roman"/>
        </w:rPr>
        <w:t>ACO</w:t>
      </w:r>
      <w:r>
        <w:rPr>
          <w:rFonts w:ascii="Times New Roman" w:hAnsi="Times New Roman" w:cs="Times New Roman"/>
        </w:rPr>
        <w:t xml:space="preserve"> respondents – both embedded in large health systems had piloted remote monitoring of high-risk patients prior to the pandemic and both organizations were in the process of expanding their RPM efforts. One of these ACOs planned an expansion of RPM services to several thousand chronically ill patients with clinical pharmacists as the supervising professionals. Other ACO respondents expressed interest in RPM but had not yet implemented it.</w:t>
      </w:r>
    </w:p>
    <w:p w14:paraId="587DD649" w14:textId="1C8B7487" w:rsidR="004966B8" w:rsidRPr="005C3718" w:rsidRDefault="004966B8" w:rsidP="001A1DA3">
      <w:pPr>
        <w:spacing w:before="120" w:after="120" w:line="276" w:lineRule="auto"/>
        <w:ind w:left="1080" w:right="1170"/>
        <w:rPr>
          <w:rFonts w:ascii="Times New Roman" w:hAnsi="Times New Roman" w:cs="Times New Roman"/>
          <w:b/>
          <w:bCs/>
        </w:rPr>
      </w:pPr>
      <w:r>
        <w:rPr>
          <w:rFonts w:ascii="Times New Roman" w:hAnsi="Times New Roman" w:cs="Times New Roman"/>
          <w:b/>
          <w:bCs/>
        </w:rPr>
        <w:t>ACO Activities During the Pandemic</w:t>
      </w:r>
    </w:p>
    <w:p w14:paraId="6E929A0A" w14:textId="095349E4" w:rsidR="004966B8" w:rsidRDefault="004D3143"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Traditional </w:t>
      </w:r>
      <w:r w:rsidR="004966B8">
        <w:rPr>
          <w:rFonts w:ascii="Times New Roman" w:hAnsi="Times New Roman" w:cs="Times New Roman"/>
        </w:rPr>
        <w:t>health care organizations operate with an “inbound” focus – meaning that they wait for patients to come to them when the</w:t>
      </w:r>
      <w:r w:rsidR="00E1221E">
        <w:rPr>
          <w:rFonts w:ascii="Times New Roman" w:hAnsi="Times New Roman" w:cs="Times New Roman"/>
        </w:rPr>
        <w:t>y are sick or injured. In contrast, ACOs are more population health-focused and interact with patients – particularly those with medical and social complexity – outside of scheduled medical visits.</w:t>
      </w:r>
      <w:r w:rsidR="004966B8">
        <w:rPr>
          <w:rFonts w:ascii="Times New Roman" w:hAnsi="Times New Roman" w:cs="Times New Roman"/>
        </w:rPr>
        <w:t xml:space="preserve"> </w:t>
      </w:r>
      <w:r w:rsidR="00E1221E" w:rsidRPr="00453189">
        <w:rPr>
          <w:rFonts w:ascii="Times New Roman" w:hAnsi="Times New Roman" w:cs="Times New Roman"/>
        </w:rPr>
        <w:t>ACO</w:t>
      </w:r>
      <w:r w:rsidR="00E1221E">
        <w:rPr>
          <w:rFonts w:ascii="Times New Roman" w:hAnsi="Times New Roman" w:cs="Times New Roman"/>
        </w:rPr>
        <w:t>s</w:t>
      </w:r>
      <w:r w:rsidR="00E1221E" w:rsidRPr="00453189">
        <w:rPr>
          <w:rFonts w:ascii="Times New Roman" w:hAnsi="Times New Roman" w:cs="Times New Roman"/>
        </w:rPr>
        <w:t xml:space="preserve"> </w:t>
      </w:r>
      <w:r w:rsidR="00E1221E">
        <w:rPr>
          <w:rFonts w:ascii="Times New Roman" w:hAnsi="Times New Roman" w:cs="Times New Roman"/>
        </w:rPr>
        <w:t xml:space="preserve">have a formal </w:t>
      </w:r>
      <w:r w:rsidR="00E1221E" w:rsidRPr="00453189">
        <w:rPr>
          <w:rFonts w:ascii="Times New Roman" w:hAnsi="Times New Roman" w:cs="Times New Roman"/>
        </w:rPr>
        <w:t>care management structure</w:t>
      </w:r>
      <w:r w:rsidR="00E1221E">
        <w:rPr>
          <w:rFonts w:ascii="Times New Roman" w:hAnsi="Times New Roman" w:cs="Times New Roman"/>
        </w:rPr>
        <w:t xml:space="preserve"> with personnel dedicated to working with complex patients on an ongoing basis to maintain health and to intervene quickly when flare-ups of chronic conditions occur. Several </w:t>
      </w:r>
      <w:r w:rsidR="004966B8">
        <w:rPr>
          <w:rFonts w:ascii="Times New Roman" w:hAnsi="Times New Roman" w:cs="Times New Roman"/>
        </w:rPr>
        <w:t>ACO respondent</w:t>
      </w:r>
      <w:r w:rsidR="00E1221E">
        <w:rPr>
          <w:rFonts w:ascii="Times New Roman" w:hAnsi="Times New Roman" w:cs="Times New Roman"/>
        </w:rPr>
        <w:t>s</w:t>
      </w:r>
      <w:r w:rsidR="004966B8">
        <w:rPr>
          <w:rFonts w:ascii="Times New Roman" w:hAnsi="Times New Roman" w:cs="Times New Roman"/>
        </w:rPr>
        <w:t xml:space="preserve"> told us that </w:t>
      </w:r>
      <w:r w:rsidR="00E1221E">
        <w:rPr>
          <w:rFonts w:ascii="Times New Roman" w:hAnsi="Times New Roman" w:cs="Times New Roman"/>
        </w:rPr>
        <w:t>a</w:t>
      </w:r>
      <w:r w:rsidR="004966B8">
        <w:rPr>
          <w:rFonts w:ascii="Times New Roman" w:hAnsi="Times New Roman" w:cs="Times New Roman"/>
        </w:rPr>
        <w:t xml:space="preserve"> major priority during the pandemic was to help the</w:t>
      </w:r>
      <w:r w:rsidR="00E1221E">
        <w:rPr>
          <w:rFonts w:ascii="Times New Roman" w:hAnsi="Times New Roman" w:cs="Times New Roman"/>
        </w:rPr>
        <w:t>ir</w:t>
      </w:r>
      <w:r w:rsidR="004966B8">
        <w:rPr>
          <w:rFonts w:ascii="Times New Roman" w:hAnsi="Times New Roman" w:cs="Times New Roman"/>
        </w:rPr>
        <w:t xml:space="preserve"> entire system “shift us from an ‘inbound’ to an ‘outbound’ orientation.” </w:t>
      </w:r>
    </w:p>
    <w:p w14:paraId="071B2775" w14:textId="704767D5"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Virtually all </w:t>
      </w:r>
      <w:r w:rsidR="00E1221E">
        <w:rPr>
          <w:rFonts w:ascii="Times New Roman" w:hAnsi="Times New Roman" w:cs="Times New Roman"/>
        </w:rPr>
        <w:t xml:space="preserve">ACO </w:t>
      </w:r>
      <w:r>
        <w:rPr>
          <w:rFonts w:ascii="Times New Roman" w:hAnsi="Times New Roman" w:cs="Times New Roman"/>
        </w:rPr>
        <w:t xml:space="preserve">respondents </w:t>
      </w:r>
      <w:r w:rsidR="00E1221E">
        <w:rPr>
          <w:rFonts w:ascii="Times New Roman" w:hAnsi="Times New Roman" w:cs="Times New Roman"/>
        </w:rPr>
        <w:t>reported</w:t>
      </w:r>
      <w:r>
        <w:rPr>
          <w:rFonts w:ascii="Times New Roman" w:hAnsi="Times New Roman" w:cs="Times New Roman"/>
        </w:rPr>
        <w:t xml:space="preserve"> re-task</w:t>
      </w:r>
      <w:r w:rsidR="00E1221E">
        <w:rPr>
          <w:rFonts w:ascii="Times New Roman" w:hAnsi="Times New Roman" w:cs="Times New Roman"/>
        </w:rPr>
        <w:t>ing</w:t>
      </w:r>
      <w:r>
        <w:rPr>
          <w:rFonts w:ascii="Times New Roman" w:hAnsi="Times New Roman" w:cs="Times New Roman"/>
        </w:rPr>
        <w:t xml:space="preserve"> population health teams to </w:t>
      </w:r>
      <w:r w:rsidR="00230F41">
        <w:rPr>
          <w:rFonts w:ascii="Times New Roman" w:hAnsi="Times New Roman" w:cs="Times New Roman"/>
        </w:rPr>
        <w:t>focus on</w:t>
      </w:r>
      <w:r>
        <w:rPr>
          <w:rFonts w:ascii="Times New Roman" w:hAnsi="Times New Roman" w:cs="Times New Roman"/>
        </w:rPr>
        <w:t xml:space="preserve"> patients at high risk for adverse outcomes if they contract COVID-19. </w:t>
      </w:r>
      <w:r w:rsidRPr="00453189">
        <w:rPr>
          <w:rFonts w:ascii="Times New Roman" w:hAnsi="Times New Roman" w:cs="Times New Roman"/>
        </w:rPr>
        <w:t>A</w:t>
      </w:r>
      <w:r>
        <w:rPr>
          <w:rFonts w:ascii="Times New Roman" w:hAnsi="Times New Roman" w:cs="Times New Roman"/>
        </w:rPr>
        <w:t>COs use a variety of risk identification and stratification tools to prioritize outreach by their care management teams. ACOs modified these analytics to focus on patients with risk factors related to COVID-19. Care teams then began with out</w:t>
      </w:r>
      <w:r w:rsidRPr="00453189">
        <w:rPr>
          <w:rFonts w:ascii="Times New Roman" w:hAnsi="Times New Roman" w:cs="Times New Roman"/>
        </w:rPr>
        <w:t>bound call</w:t>
      </w:r>
      <w:r>
        <w:rPr>
          <w:rFonts w:ascii="Times New Roman" w:hAnsi="Times New Roman" w:cs="Times New Roman"/>
        </w:rPr>
        <w:t>s</w:t>
      </w:r>
      <w:r w:rsidRPr="00453189">
        <w:rPr>
          <w:rFonts w:ascii="Times New Roman" w:hAnsi="Times New Roman" w:cs="Times New Roman"/>
        </w:rPr>
        <w:t xml:space="preserve"> to vulnerable patients to identify needs</w:t>
      </w:r>
      <w:r>
        <w:rPr>
          <w:rFonts w:ascii="Times New Roman" w:hAnsi="Times New Roman" w:cs="Times New Roman"/>
        </w:rPr>
        <w:t>, provide advice</w:t>
      </w:r>
      <w:r w:rsidRPr="00453189">
        <w:rPr>
          <w:rFonts w:ascii="Times New Roman" w:hAnsi="Times New Roman" w:cs="Times New Roman"/>
        </w:rPr>
        <w:t xml:space="preserve"> and direct </w:t>
      </w:r>
      <w:proofErr w:type="gramStart"/>
      <w:r w:rsidRPr="00453189">
        <w:rPr>
          <w:rFonts w:ascii="Times New Roman" w:hAnsi="Times New Roman" w:cs="Times New Roman"/>
        </w:rPr>
        <w:t>resources</w:t>
      </w:r>
      <w:proofErr w:type="gramEnd"/>
      <w:r>
        <w:rPr>
          <w:rFonts w:ascii="Times New Roman" w:hAnsi="Times New Roman" w:cs="Times New Roman"/>
        </w:rPr>
        <w:t xml:space="preserve"> as necessary. ACOs took steps to help beneficiaries affected by social determinants of health like food insecurity. This included </w:t>
      </w:r>
      <w:r w:rsidRPr="00453189">
        <w:rPr>
          <w:rFonts w:ascii="Times New Roman" w:hAnsi="Times New Roman" w:cs="Times New Roman"/>
        </w:rPr>
        <w:t xml:space="preserve">coordinating with community </w:t>
      </w:r>
      <w:r>
        <w:rPr>
          <w:rFonts w:ascii="Times New Roman" w:hAnsi="Times New Roman" w:cs="Times New Roman"/>
        </w:rPr>
        <w:t xml:space="preserve">service </w:t>
      </w:r>
      <w:r w:rsidRPr="00453189">
        <w:rPr>
          <w:rFonts w:ascii="Times New Roman" w:hAnsi="Times New Roman" w:cs="Times New Roman"/>
        </w:rPr>
        <w:t xml:space="preserve">agencies </w:t>
      </w:r>
      <w:r>
        <w:rPr>
          <w:rFonts w:ascii="Times New Roman" w:hAnsi="Times New Roman" w:cs="Times New Roman"/>
        </w:rPr>
        <w:t>and in some cases having staff deliver food boxes</w:t>
      </w:r>
      <w:r w:rsidR="00E1221E">
        <w:rPr>
          <w:rFonts w:ascii="Times New Roman" w:hAnsi="Times New Roman" w:cs="Times New Roman"/>
        </w:rPr>
        <w:t xml:space="preserve"> or medications</w:t>
      </w:r>
      <w:r>
        <w:rPr>
          <w:rFonts w:ascii="Times New Roman" w:hAnsi="Times New Roman" w:cs="Times New Roman"/>
        </w:rPr>
        <w:t xml:space="preserve">. </w:t>
      </w:r>
    </w:p>
    <w:p w14:paraId="2D2604AC" w14:textId="6A169BD3"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In 2020, CMS </w:t>
      </w:r>
      <w:r w:rsidR="00105D4D">
        <w:rPr>
          <w:rFonts w:ascii="Times New Roman" w:hAnsi="Times New Roman" w:cs="Times New Roman"/>
        </w:rPr>
        <w:t>ruled that</w:t>
      </w:r>
      <w:r>
        <w:rPr>
          <w:rFonts w:ascii="Times New Roman" w:hAnsi="Times New Roman" w:cs="Times New Roman"/>
        </w:rPr>
        <w:t xml:space="preserve"> Medicare ACOs with downside risk </w:t>
      </w:r>
      <w:r w:rsidR="00105D4D">
        <w:rPr>
          <w:rFonts w:ascii="Times New Roman" w:hAnsi="Times New Roman" w:cs="Times New Roman"/>
        </w:rPr>
        <w:t xml:space="preserve">would not be required to </w:t>
      </w:r>
      <w:r>
        <w:rPr>
          <w:rFonts w:ascii="Times New Roman" w:hAnsi="Times New Roman" w:cs="Times New Roman"/>
        </w:rPr>
        <w:t xml:space="preserve">pay back financial losses if they incur excess spending during the public health emergency. </w:t>
      </w:r>
      <w:r w:rsidRPr="00453189">
        <w:rPr>
          <w:rFonts w:ascii="Times New Roman" w:hAnsi="Times New Roman" w:cs="Times New Roman"/>
        </w:rPr>
        <w:t>A</w:t>
      </w:r>
      <w:r>
        <w:rPr>
          <w:rFonts w:ascii="Times New Roman" w:hAnsi="Times New Roman" w:cs="Times New Roman"/>
        </w:rPr>
        <w:t>COs</w:t>
      </w:r>
      <w:r w:rsidRPr="00453189">
        <w:rPr>
          <w:rFonts w:ascii="Times New Roman" w:hAnsi="Times New Roman" w:cs="Times New Roman"/>
        </w:rPr>
        <w:t xml:space="preserve"> </w:t>
      </w:r>
      <w:r>
        <w:rPr>
          <w:rFonts w:ascii="Times New Roman" w:hAnsi="Times New Roman" w:cs="Times New Roman"/>
        </w:rPr>
        <w:t>w</w:t>
      </w:r>
      <w:r w:rsidR="00105D4D">
        <w:rPr>
          <w:rFonts w:ascii="Times New Roman" w:hAnsi="Times New Roman" w:cs="Times New Roman"/>
        </w:rPr>
        <w:t xml:space="preserve">ere also concerned </w:t>
      </w:r>
      <w:r>
        <w:rPr>
          <w:rFonts w:ascii="Times New Roman" w:hAnsi="Times New Roman" w:cs="Times New Roman"/>
        </w:rPr>
        <w:t xml:space="preserve">that </w:t>
      </w:r>
      <w:r w:rsidR="00105D4D">
        <w:rPr>
          <w:rFonts w:ascii="Times New Roman" w:hAnsi="Times New Roman" w:cs="Times New Roman"/>
        </w:rPr>
        <w:t xml:space="preserve">if </w:t>
      </w:r>
      <w:r>
        <w:rPr>
          <w:rFonts w:ascii="Times New Roman" w:hAnsi="Times New Roman" w:cs="Times New Roman"/>
        </w:rPr>
        <w:t>patients delayed care for fear of infection, the</w:t>
      </w:r>
      <w:r w:rsidR="00105D4D">
        <w:rPr>
          <w:rFonts w:ascii="Times New Roman" w:hAnsi="Times New Roman" w:cs="Times New Roman"/>
        </w:rPr>
        <w:t>ir ACOs</w:t>
      </w:r>
      <w:r>
        <w:rPr>
          <w:rFonts w:ascii="Times New Roman" w:hAnsi="Times New Roman" w:cs="Times New Roman"/>
        </w:rPr>
        <w:t xml:space="preserve"> would lose large numbers of attributed beneficiaries, and those remaining in the ACO would be </w:t>
      </w:r>
      <w:r w:rsidR="00105D4D">
        <w:rPr>
          <w:rFonts w:ascii="Times New Roman" w:hAnsi="Times New Roman" w:cs="Times New Roman"/>
        </w:rPr>
        <w:t xml:space="preserve">older and sicker. </w:t>
      </w:r>
      <w:r>
        <w:rPr>
          <w:rFonts w:ascii="Times New Roman" w:hAnsi="Times New Roman" w:cs="Times New Roman"/>
        </w:rPr>
        <w:t xml:space="preserve">CMS also ruled that </w:t>
      </w:r>
      <w:r w:rsidR="00105D4D">
        <w:rPr>
          <w:rFonts w:ascii="Times New Roman" w:hAnsi="Times New Roman" w:cs="Times New Roman"/>
        </w:rPr>
        <w:t xml:space="preserve">Medicare </w:t>
      </w:r>
      <w:r>
        <w:rPr>
          <w:rFonts w:ascii="Times New Roman" w:hAnsi="Times New Roman" w:cs="Times New Roman"/>
        </w:rPr>
        <w:t xml:space="preserve">beneficiaries could be attributed to </w:t>
      </w:r>
      <w:r w:rsidRPr="00453189">
        <w:rPr>
          <w:rFonts w:ascii="Times New Roman" w:hAnsi="Times New Roman" w:cs="Times New Roman"/>
        </w:rPr>
        <w:t>ACO</w:t>
      </w:r>
      <w:r>
        <w:rPr>
          <w:rFonts w:ascii="Times New Roman" w:hAnsi="Times New Roman" w:cs="Times New Roman"/>
        </w:rPr>
        <w:t xml:space="preserve">s through telehealth visits. Because of this, a top priority </w:t>
      </w:r>
      <w:r w:rsidR="00105D4D">
        <w:rPr>
          <w:rFonts w:ascii="Times New Roman" w:hAnsi="Times New Roman" w:cs="Times New Roman"/>
        </w:rPr>
        <w:t xml:space="preserve">of ACOs </w:t>
      </w:r>
      <w:r>
        <w:rPr>
          <w:rFonts w:ascii="Times New Roman" w:hAnsi="Times New Roman" w:cs="Times New Roman"/>
        </w:rPr>
        <w:t xml:space="preserve">was reaching out to beneficiaries they </w:t>
      </w:r>
      <w:proofErr w:type="gramStart"/>
      <w:r>
        <w:rPr>
          <w:rFonts w:ascii="Times New Roman" w:hAnsi="Times New Roman" w:cs="Times New Roman"/>
        </w:rPr>
        <w:t>hadn’t</w:t>
      </w:r>
      <w:proofErr w:type="gramEnd"/>
      <w:r>
        <w:rPr>
          <w:rFonts w:ascii="Times New Roman" w:hAnsi="Times New Roman" w:cs="Times New Roman"/>
        </w:rPr>
        <w:t xml:space="preserve"> seen through the year and offering virtual annual wellness visits (AWVs).</w:t>
      </w:r>
      <w:r w:rsidR="00413324">
        <w:rPr>
          <w:rFonts w:ascii="Times New Roman" w:hAnsi="Times New Roman" w:cs="Times New Roman"/>
        </w:rPr>
        <w:t xml:space="preserve"> </w:t>
      </w:r>
    </w:p>
    <w:p w14:paraId="331BEC6C" w14:textId="2A8CF4D7" w:rsidR="004966B8" w:rsidRPr="00453189"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Although health care providers had access to a </w:t>
      </w:r>
      <w:r w:rsidR="00105D4D">
        <w:rPr>
          <w:rFonts w:ascii="Times New Roman" w:hAnsi="Times New Roman" w:cs="Times New Roman"/>
        </w:rPr>
        <w:t>range</w:t>
      </w:r>
      <w:r>
        <w:rPr>
          <w:rFonts w:ascii="Times New Roman" w:hAnsi="Times New Roman" w:cs="Times New Roman"/>
        </w:rPr>
        <w:t xml:space="preserve"> of waivers, the ACOs we spoke with primarily focused on telehealth. Health systems with hospitals pushed to capacity by COVID-19 patients took advantage of </w:t>
      </w:r>
      <w:r w:rsidRPr="00453189">
        <w:rPr>
          <w:rFonts w:ascii="Times New Roman" w:hAnsi="Times New Roman" w:cs="Times New Roman"/>
        </w:rPr>
        <w:t xml:space="preserve">waivers </w:t>
      </w:r>
      <w:r>
        <w:rPr>
          <w:rFonts w:ascii="Times New Roman" w:hAnsi="Times New Roman" w:cs="Times New Roman"/>
        </w:rPr>
        <w:t xml:space="preserve">allowing </w:t>
      </w:r>
      <w:r w:rsidRPr="00453189">
        <w:rPr>
          <w:rFonts w:ascii="Times New Roman" w:hAnsi="Times New Roman" w:cs="Times New Roman"/>
        </w:rPr>
        <w:t>care in alternative sites</w:t>
      </w:r>
      <w:r>
        <w:rPr>
          <w:rFonts w:ascii="Times New Roman" w:hAnsi="Times New Roman" w:cs="Times New Roman"/>
        </w:rPr>
        <w:t xml:space="preserve">, but that was generally </w:t>
      </w:r>
      <w:r w:rsidR="00105D4D">
        <w:rPr>
          <w:rFonts w:ascii="Times New Roman" w:hAnsi="Times New Roman" w:cs="Times New Roman"/>
        </w:rPr>
        <w:t>not</w:t>
      </w:r>
      <w:r>
        <w:rPr>
          <w:rFonts w:ascii="Times New Roman" w:hAnsi="Times New Roman" w:cs="Times New Roman"/>
        </w:rPr>
        <w:t xml:space="preserve"> the focus of ACOs. Another waiver stakeholders </w:t>
      </w:r>
      <w:r w:rsidR="00105D4D">
        <w:rPr>
          <w:rFonts w:ascii="Times New Roman" w:hAnsi="Times New Roman" w:cs="Times New Roman"/>
        </w:rPr>
        <w:t xml:space="preserve">mentioned using </w:t>
      </w:r>
      <w:r>
        <w:rPr>
          <w:rFonts w:ascii="Times New Roman" w:hAnsi="Times New Roman" w:cs="Times New Roman"/>
        </w:rPr>
        <w:t xml:space="preserve">was the </w:t>
      </w:r>
      <w:r w:rsidR="00105D4D">
        <w:rPr>
          <w:rFonts w:ascii="Times New Roman" w:hAnsi="Times New Roman" w:cs="Times New Roman"/>
        </w:rPr>
        <w:t xml:space="preserve">ability </w:t>
      </w:r>
      <w:r w:rsidRPr="00453189">
        <w:rPr>
          <w:rFonts w:ascii="Times New Roman" w:hAnsi="Times New Roman" w:cs="Times New Roman"/>
        </w:rPr>
        <w:t xml:space="preserve">relaxed criteria </w:t>
      </w:r>
      <w:r>
        <w:rPr>
          <w:rFonts w:ascii="Times New Roman" w:hAnsi="Times New Roman" w:cs="Times New Roman"/>
        </w:rPr>
        <w:t>allowing nurse practitioners and physician assistants to write h</w:t>
      </w:r>
      <w:r w:rsidRPr="00453189">
        <w:rPr>
          <w:rFonts w:ascii="Times New Roman" w:hAnsi="Times New Roman" w:cs="Times New Roman"/>
        </w:rPr>
        <w:t>ome health orders</w:t>
      </w:r>
      <w:r>
        <w:rPr>
          <w:rFonts w:ascii="Times New Roman" w:hAnsi="Times New Roman" w:cs="Times New Roman"/>
        </w:rPr>
        <w:t xml:space="preserve">. </w:t>
      </w:r>
    </w:p>
    <w:p w14:paraId="13097EE2" w14:textId="77777777" w:rsidR="004966B8" w:rsidRPr="00934C2E" w:rsidRDefault="004966B8" w:rsidP="001A1DA3">
      <w:pPr>
        <w:spacing w:before="120" w:after="120" w:line="276" w:lineRule="auto"/>
        <w:ind w:left="1080" w:right="1170"/>
        <w:rPr>
          <w:rFonts w:ascii="Times New Roman" w:hAnsi="Times New Roman" w:cs="Times New Roman"/>
          <w:b/>
          <w:bCs/>
        </w:rPr>
      </w:pPr>
      <w:r>
        <w:rPr>
          <w:rFonts w:ascii="Times New Roman" w:hAnsi="Times New Roman" w:cs="Times New Roman"/>
          <w:b/>
          <w:bCs/>
        </w:rPr>
        <w:lastRenderedPageBreak/>
        <w:t xml:space="preserve">Virtual Care </w:t>
      </w:r>
      <w:r w:rsidRPr="00934C2E">
        <w:rPr>
          <w:rFonts w:ascii="Times New Roman" w:hAnsi="Times New Roman" w:cs="Times New Roman"/>
          <w:b/>
          <w:bCs/>
        </w:rPr>
        <w:t>Challenges</w:t>
      </w:r>
    </w:p>
    <w:p w14:paraId="6E5563A3" w14:textId="2DD9F1DA"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In 2020, virtual care provided a lifeline for patients and generated much-needed cash flow for financially struggling clinicians. Prior to 2020, the principal barrier to telehealth was reimbursement. But as telehealth became commonplace during the pandemic, other challenges emerged. A principal challenge was that virtual care requires a c</w:t>
      </w:r>
      <w:r w:rsidRPr="00453189">
        <w:rPr>
          <w:rFonts w:ascii="Times New Roman" w:hAnsi="Times New Roman" w:cs="Times New Roman"/>
        </w:rPr>
        <w:t>ultural shift for patients and physicians</w:t>
      </w:r>
      <w:r>
        <w:rPr>
          <w:rFonts w:ascii="Times New Roman" w:hAnsi="Times New Roman" w:cs="Times New Roman"/>
        </w:rPr>
        <w:t xml:space="preserve">. While many patients are pleased to have access to telehealth, it is not universal. The rapid decline in telehealth as in-person visit volume started to rebound is evidence </w:t>
      </w:r>
      <w:r w:rsidR="008D7F1C">
        <w:rPr>
          <w:rFonts w:ascii="Times New Roman" w:hAnsi="Times New Roman" w:cs="Times New Roman"/>
        </w:rPr>
        <w:t>that telehealth has not yet achieved broad acceptance</w:t>
      </w:r>
      <w:r>
        <w:rPr>
          <w:rFonts w:ascii="Times New Roman" w:hAnsi="Times New Roman" w:cs="Times New Roman"/>
        </w:rPr>
        <w:t>.</w:t>
      </w:r>
    </w:p>
    <w:p w14:paraId="0E332C8D" w14:textId="76369F68"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Physician support for telehealth has been mixed. One ACO executive told us “[telehealth] will probably be a sideline [in the long run] since most of our docs think that it’s inferior care.” Another executive noted the difficulties of launching telehealth saying, “How do you get the docs to understand how to do telehealth and build it into their workflow?” Another concern was that some patients had difficulty with the technology. A respondent told us that “in retrospect I would be much more aggressive putting technical support in place because many of our providers ended up as </w:t>
      </w:r>
      <w:r w:rsidRPr="0062767E">
        <w:rPr>
          <w:rFonts w:ascii="Times New Roman" w:hAnsi="Times New Roman" w:cs="Times New Roman"/>
          <w:i/>
          <w:iCs/>
        </w:rPr>
        <w:t>de facto</w:t>
      </w:r>
      <w:r>
        <w:rPr>
          <w:rFonts w:ascii="Times New Roman" w:hAnsi="Times New Roman" w:cs="Times New Roman"/>
        </w:rPr>
        <w:t xml:space="preserve"> tech support for their patients.” However, this individual </w:t>
      </w:r>
      <w:r w:rsidR="008D7F1C">
        <w:rPr>
          <w:rFonts w:ascii="Times New Roman" w:hAnsi="Times New Roman" w:cs="Times New Roman"/>
        </w:rPr>
        <w:t xml:space="preserve">also </w:t>
      </w:r>
      <w:r>
        <w:rPr>
          <w:rFonts w:ascii="Times New Roman" w:hAnsi="Times New Roman" w:cs="Times New Roman"/>
        </w:rPr>
        <w:t xml:space="preserve">said </w:t>
      </w:r>
      <w:r w:rsidR="008D7F1C">
        <w:rPr>
          <w:rFonts w:ascii="Times New Roman" w:hAnsi="Times New Roman" w:cs="Times New Roman"/>
        </w:rPr>
        <w:t xml:space="preserve">that </w:t>
      </w:r>
      <w:r>
        <w:rPr>
          <w:rFonts w:ascii="Times New Roman" w:hAnsi="Times New Roman" w:cs="Times New Roman"/>
        </w:rPr>
        <w:t xml:space="preserve">their system was “promoting [telehealth] as a significant part of our strategy going forward”. </w:t>
      </w:r>
    </w:p>
    <w:p w14:paraId="402B36D3" w14:textId="2D63ACA5" w:rsidR="004966B8" w:rsidRPr="00453189"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There are also challenges from the patient side. Frail elderly patients often have difficulty with the technology unless they have a technologically adept caregiver. Some ACOs said </w:t>
      </w:r>
      <w:r w:rsidR="00230F41">
        <w:rPr>
          <w:rFonts w:ascii="Times New Roman" w:hAnsi="Times New Roman" w:cs="Times New Roman"/>
        </w:rPr>
        <w:t>most patients in</w:t>
      </w:r>
      <w:r>
        <w:rPr>
          <w:rFonts w:ascii="Times New Roman" w:hAnsi="Times New Roman" w:cs="Times New Roman"/>
        </w:rPr>
        <w:t xml:space="preserve"> their </w:t>
      </w:r>
      <w:r w:rsidR="008D7F1C">
        <w:rPr>
          <w:rFonts w:ascii="Times New Roman" w:hAnsi="Times New Roman" w:cs="Times New Roman"/>
        </w:rPr>
        <w:t xml:space="preserve">geographic market </w:t>
      </w:r>
      <w:r>
        <w:rPr>
          <w:rFonts w:ascii="Times New Roman" w:hAnsi="Times New Roman" w:cs="Times New Roman"/>
        </w:rPr>
        <w:t xml:space="preserve">simply prefer going to see the doctor.  Finally, several respondents </w:t>
      </w:r>
      <w:r w:rsidR="008D7F1C">
        <w:rPr>
          <w:rFonts w:ascii="Times New Roman" w:hAnsi="Times New Roman" w:cs="Times New Roman"/>
        </w:rPr>
        <w:t xml:space="preserve">noted the problem of </w:t>
      </w:r>
      <w:r>
        <w:rPr>
          <w:rFonts w:ascii="Times New Roman" w:hAnsi="Times New Roman" w:cs="Times New Roman"/>
        </w:rPr>
        <w:t xml:space="preserve">unequal access </w:t>
      </w:r>
      <w:r w:rsidR="008D7F1C">
        <w:rPr>
          <w:rFonts w:ascii="Times New Roman" w:hAnsi="Times New Roman" w:cs="Times New Roman"/>
        </w:rPr>
        <w:t xml:space="preserve">to telehealth </w:t>
      </w:r>
      <w:r>
        <w:rPr>
          <w:rFonts w:ascii="Times New Roman" w:hAnsi="Times New Roman" w:cs="Times New Roman"/>
        </w:rPr>
        <w:t>due to a “d</w:t>
      </w:r>
      <w:r w:rsidRPr="00453189">
        <w:rPr>
          <w:rFonts w:ascii="Times New Roman" w:hAnsi="Times New Roman" w:cs="Times New Roman"/>
        </w:rPr>
        <w:t>igital divide</w:t>
      </w:r>
      <w:r>
        <w:rPr>
          <w:rFonts w:ascii="Times New Roman" w:hAnsi="Times New Roman" w:cs="Times New Roman"/>
        </w:rPr>
        <w:t>”</w:t>
      </w:r>
      <w:r w:rsidRPr="00453189">
        <w:rPr>
          <w:rFonts w:ascii="Times New Roman" w:hAnsi="Times New Roman" w:cs="Times New Roman"/>
        </w:rPr>
        <w:t xml:space="preserve"> in poor urban areas and rural communities</w:t>
      </w:r>
      <w:r>
        <w:rPr>
          <w:rFonts w:ascii="Times New Roman" w:hAnsi="Times New Roman" w:cs="Times New Roman"/>
        </w:rPr>
        <w:t xml:space="preserve"> where lack of broadband made virtual visits difficult or impossible.</w:t>
      </w:r>
    </w:p>
    <w:p w14:paraId="27E285F0" w14:textId="77777777" w:rsidR="004966B8" w:rsidRPr="00934C2E" w:rsidRDefault="004966B8" w:rsidP="001A1DA3">
      <w:pPr>
        <w:spacing w:before="120" w:after="120" w:line="276" w:lineRule="auto"/>
        <w:ind w:left="1080" w:right="1170"/>
        <w:rPr>
          <w:rFonts w:ascii="Times New Roman" w:hAnsi="Times New Roman" w:cs="Times New Roman"/>
          <w:b/>
          <w:bCs/>
        </w:rPr>
      </w:pPr>
      <w:proofErr w:type="gramStart"/>
      <w:r w:rsidRPr="00934C2E">
        <w:rPr>
          <w:rFonts w:ascii="Times New Roman" w:hAnsi="Times New Roman" w:cs="Times New Roman"/>
          <w:b/>
          <w:bCs/>
        </w:rPr>
        <w:t xml:space="preserve">Future </w:t>
      </w:r>
      <w:r>
        <w:rPr>
          <w:rFonts w:ascii="Times New Roman" w:hAnsi="Times New Roman" w:cs="Times New Roman"/>
          <w:b/>
          <w:bCs/>
        </w:rPr>
        <w:t>O</w:t>
      </w:r>
      <w:r w:rsidRPr="00934C2E">
        <w:rPr>
          <w:rFonts w:ascii="Times New Roman" w:hAnsi="Times New Roman" w:cs="Times New Roman"/>
          <w:b/>
          <w:bCs/>
        </w:rPr>
        <w:t>utlook</w:t>
      </w:r>
      <w:proofErr w:type="gramEnd"/>
      <w:r w:rsidRPr="00934C2E">
        <w:rPr>
          <w:rFonts w:ascii="Times New Roman" w:hAnsi="Times New Roman" w:cs="Times New Roman"/>
          <w:b/>
          <w:bCs/>
        </w:rPr>
        <w:t xml:space="preserve"> for </w:t>
      </w:r>
      <w:r>
        <w:rPr>
          <w:rFonts w:ascii="Times New Roman" w:hAnsi="Times New Roman" w:cs="Times New Roman"/>
          <w:b/>
          <w:bCs/>
        </w:rPr>
        <w:t xml:space="preserve">ACOs and </w:t>
      </w:r>
      <w:r w:rsidRPr="00934C2E">
        <w:rPr>
          <w:rFonts w:ascii="Times New Roman" w:hAnsi="Times New Roman" w:cs="Times New Roman"/>
          <w:b/>
          <w:bCs/>
        </w:rPr>
        <w:t>Telehealth</w:t>
      </w:r>
    </w:p>
    <w:p w14:paraId="38390C13" w14:textId="440CC79D"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Respondents interviewed for this study were generally positive about </w:t>
      </w:r>
      <w:r w:rsidR="008D7F1C">
        <w:rPr>
          <w:rFonts w:ascii="Times New Roman" w:hAnsi="Times New Roman" w:cs="Times New Roman"/>
        </w:rPr>
        <w:t xml:space="preserve">maintaining and </w:t>
      </w:r>
      <w:r>
        <w:rPr>
          <w:rFonts w:ascii="Times New Roman" w:hAnsi="Times New Roman" w:cs="Times New Roman"/>
        </w:rPr>
        <w:t xml:space="preserve">expanding telehealth use in the future. But </w:t>
      </w:r>
      <w:r w:rsidR="008D7F1C">
        <w:rPr>
          <w:rFonts w:ascii="Times New Roman" w:hAnsi="Times New Roman" w:cs="Times New Roman"/>
        </w:rPr>
        <w:t xml:space="preserve">that is highly dependent on </w:t>
      </w:r>
      <w:r>
        <w:rPr>
          <w:rFonts w:ascii="Times New Roman" w:hAnsi="Times New Roman" w:cs="Times New Roman"/>
        </w:rPr>
        <w:t xml:space="preserve">how CMS </w:t>
      </w:r>
      <w:r w:rsidR="008D7F1C">
        <w:rPr>
          <w:rFonts w:ascii="Times New Roman" w:hAnsi="Times New Roman" w:cs="Times New Roman"/>
        </w:rPr>
        <w:t xml:space="preserve">decides to </w:t>
      </w:r>
      <w:r>
        <w:rPr>
          <w:rFonts w:ascii="Times New Roman" w:hAnsi="Times New Roman" w:cs="Times New Roman"/>
        </w:rPr>
        <w:t xml:space="preserve">pay for telehealth when the public health emergency </w:t>
      </w:r>
      <w:r w:rsidR="008D7F1C">
        <w:rPr>
          <w:rFonts w:ascii="Times New Roman" w:hAnsi="Times New Roman" w:cs="Times New Roman"/>
        </w:rPr>
        <w:t>ends</w:t>
      </w:r>
      <w:r>
        <w:rPr>
          <w:rFonts w:ascii="Times New Roman" w:hAnsi="Times New Roman" w:cs="Times New Roman"/>
        </w:rPr>
        <w:t xml:space="preserve">.  </w:t>
      </w:r>
    </w:p>
    <w:p w14:paraId="78713D67" w14:textId="1E436E1F"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 xml:space="preserve">One area where telehealth has great potential is </w:t>
      </w:r>
      <w:r w:rsidR="008D7F1C">
        <w:rPr>
          <w:rFonts w:ascii="Times New Roman" w:hAnsi="Times New Roman" w:cs="Times New Roman"/>
        </w:rPr>
        <w:t>home-based primary care</w:t>
      </w:r>
      <w:r>
        <w:rPr>
          <w:rFonts w:ascii="Times New Roman" w:hAnsi="Times New Roman" w:cs="Times New Roman"/>
        </w:rPr>
        <w:t xml:space="preserve">. While providers are reimbursed for house calls, they spend significant unbillable time traveling from patient to patient. </w:t>
      </w:r>
      <w:r w:rsidRPr="00D47AFA">
        <w:rPr>
          <w:rFonts w:ascii="Times New Roman" w:hAnsi="Times New Roman" w:cs="Times New Roman"/>
        </w:rPr>
        <w:t>Th</w:t>
      </w:r>
      <w:r>
        <w:rPr>
          <w:rFonts w:ascii="Times New Roman" w:hAnsi="Times New Roman" w:cs="Times New Roman"/>
        </w:rPr>
        <w:t xml:space="preserve">e resulting inefficiency </w:t>
      </w:r>
      <w:r w:rsidRPr="00D47AFA">
        <w:rPr>
          <w:rFonts w:ascii="Times New Roman" w:hAnsi="Times New Roman" w:cs="Times New Roman"/>
        </w:rPr>
        <w:t>could be</w:t>
      </w:r>
      <w:r>
        <w:rPr>
          <w:rFonts w:ascii="Times New Roman" w:hAnsi="Times New Roman" w:cs="Times New Roman"/>
        </w:rPr>
        <w:t xml:space="preserve"> ameliorated </w:t>
      </w:r>
      <w:r w:rsidRPr="00D47AFA">
        <w:rPr>
          <w:rFonts w:ascii="Times New Roman" w:hAnsi="Times New Roman" w:cs="Times New Roman"/>
        </w:rPr>
        <w:t xml:space="preserve">by integrating virtual care for some </w:t>
      </w:r>
      <w:r w:rsidR="00230F41">
        <w:rPr>
          <w:rFonts w:ascii="Times New Roman" w:hAnsi="Times New Roman" w:cs="Times New Roman"/>
        </w:rPr>
        <w:t xml:space="preserve">portion </w:t>
      </w:r>
      <w:r w:rsidRPr="00D47AFA">
        <w:rPr>
          <w:rFonts w:ascii="Times New Roman" w:hAnsi="Times New Roman" w:cs="Times New Roman"/>
        </w:rPr>
        <w:t xml:space="preserve">of visits. Lower-level staff could come to the patients’ home to set-up the visit, help with the exam using internet-enabled diagnostic equipment and follow up by picking up necessary medications or equipment. Virtual care </w:t>
      </w:r>
      <w:r w:rsidR="008D7F1C">
        <w:rPr>
          <w:rFonts w:ascii="Times New Roman" w:hAnsi="Times New Roman" w:cs="Times New Roman"/>
        </w:rPr>
        <w:t xml:space="preserve">would </w:t>
      </w:r>
      <w:r w:rsidRPr="00D47AFA">
        <w:rPr>
          <w:rFonts w:ascii="Times New Roman" w:hAnsi="Times New Roman" w:cs="Times New Roman"/>
        </w:rPr>
        <w:t xml:space="preserve">also be beneficial in SNFs by </w:t>
      </w:r>
      <w:r>
        <w:rPr>
          <w:rFonts w:ascii="Times New Roman" w:hAnsi="Times New Roman" w:cs="Times New Roman"/>
        </w:rPr>
        <w:t xml:space="preserve">allowing for </w:t>
      </w:r>
      <w:r w:rsidRPr="00D47AFA">
        <w:rPr>
          <w:rFonts w:ascii="Times New Roman" w:hAnsi="Times New Roman" w:cs="Times New Roman"/>
        </w:rPr>
        <w:t xml:space="preserve">clinical visits during evening hours when most </w:t>
      </w:r>
      <w:r>
        <w:rPr>
          <w:rFonts w:ascii="Times New Roman" w:hAnsi="Times New Roman" w:cs="Times New Roman"/>
        </w:rPr>
        <w:t>rehospitalizations</w:t>
      </w:r>
      <w:r w:rsidRPr="00D47AFA">
        <w:rPr>
          <w:rFonts w:ascii="Times New Roman" w:hAnsi="Times New Roman" w:cs="Times New Roman"/>
        </w:rPr>
        <w:t xml:space="preserve"> occur. </w:t>
      </w:r>
      <w:r>
        <w:rPr>
          <w:rFonts w:ascii="Times New Roman" w:hAnsi="Times New Roman" w:cs="Times New Roman"/>
        </w:rPr>
        <w:t xml:space="preserve">There is general agreement that CMS will </w:t>
      </w:r>
      <w:r w:rsidR="008D7F1C">
        <w:rPr>
          <w:rFonts w:ascii="Times New Roman" w:hAnsi="Times New Roman" w:cs="Times New Roman"/>
        </w:rPr>
        <w:t xml:space="preserve">continue payment </w:t>
      </w:r>
      <w:r>
        <w:rPr>
          <w:rFonts w:ascii="Times New Roman" w:hAnsi="Times New Roman" w:cs="Times New Roman"/>
        </w:rPr>
        <w:t>for some telehealth services</w:t>
      </w:r>
      <w:r w:rsidR="008D7F1C">
        <w:rPr>
          <w:rFonts w:ascii="Times New Roman" w:hAnsi="Times New Roman" w:cs="Times New Roman"/>
        </w:rPr>
        <w:t xml:space="preserve">, </w:t>
      </w:r>
      <w:r>
        <w:rPr>
          <w:rFonts w:ascii="Times New Roman" w:hAnsi="Times New Roman" w:cs="Times New Roman"/>
        </w:rPr>
        <w:t xml:space="preserve">but </w:t>
      </w:r>
      <w:r w:rsidR="008D7F1C">
        <w:rPr>
          <w:rFonts w:ascii="Times New Roman" w:hAnsi="Times New Roman" w:cs="Times New Roman"/>
        </w:rPr>
        <w:t xml:space="preserve">respondents were that skeptical CMS would </w:t>
      </w:r>
      <w:r>
        <w:rPr>
          <w:rFonts w:ascii="Times New Roman" w:hAnsi="Times New Roman" w:cs="Times New Roman"/>
        </w:rPr>
        <w:t xml:space="preserve">keep payment rates at parity with in-person visits. One respondent told us that “we see opportunities to use telehealth to substantially change our operating model, but we aren’t going to do it if </w:t>
      </w:r>
      <w:r w:rsidR="008D7F1C">
        <w:rPr>
          <w:rFonts w:ascii="Times New Roman" w:hAnsi="Times New Roman" w:cs="Times New Roman"/>
        </w:rPr>
        <w:t>it isn’t reimbursed adequately</w:t>
      </w:r>
      <w:r>
        <w:rPr>
          <w:rFonts w:ascii="Times New Roman" w:hAnsi="Times New Roman" w:cs="Times New Roman"/>
        </w:rPr>
        <w:t>.”</w:t>
      </w:r>
    </w:p>
    <w:p w14:paraId="59F3685F" w14:textId="3E8AC3D6"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Respondents pointed to numerous o</w:t>
      </w:r>
      <w:r w:rsidRPr="00453189">
        <w:rPr>
          <w:rFonts w:ascii="Times New Roman" w:hAnsi="Times New Roman" w:cs="Times New Roman"/>
        </w:rPr>
        <w:t>pportunities for future innovation</w:t>
      </w:r>
      <w:r>
        <w:rPr>
          <w:rFonts w:ascii="Times New Roman" w:hAnsi="Times New Roman" w:cs="Times New Roman"/>
        </w:rPr>
        <w:t xml:space="preserve"> using telehealth. </w:t>
      </w:r>
      <w:r w:rsidR="008D7F1C">
        <w:rPr>
          <w:rFonts w:ascii="Times New Roman" w:hAnsi="Times New Roman" w:cs="Times New Roman"/>
        </w:rPr>
        <w:t>For example, s</w:t>
      </w:r>
      <w:r>
        <w:rPr>
          <w:rFonts w:ascii="Times New Roman" w:hAnsi="Times New Roman" w:cs="Times New Roman"/>
        </w:rPr>
        <w:t xml:space="preserve">everal now conduct much of their non-urgent behavioral health services through telehealth. Managing </w:t>
      </w:r>
      <w:r>
        <w:rPr>
          <w:rFonts w:ascii="Times New Roman" w:hAnsi="Times New Roman" w:cs="Times New Roman"/>
        </w:rPr>
        <w:lastRenderedPageBreak/>
        <w:t>care transitions is another opportunity. Most ACO care transitions programs reach out telephonically to patients discharged from hospitals and skilled nursing facilities (SNF)</w:t>
      </w:r>
      <w:r w:rsidR="008D7F1C">
        <w:rPr>
          <w:rFonts w:ascii="Times New Roman" w:hAnsi="Times New Roman" w:cs="Times New Roman"/>
        </w:rPr>
        <w:t xml:space="preserve"> to </w:t>
      </w:r>
      <w:r>
        <w:rPr>
          <w:rFonts w:ascii="Times New Roman" w:hAnsi="Times New Roman" w:cs="Times New Roman"/>
        </w:rPr>
        <w:t xml:space="preserve">ensure patients understand discharge instructions, are taking medications </w:t>
      </w:r>
      <w:r w:rsidR="008D7F1C">
        <w:rPr>
          <w:rFonts w:ascii="Times New Roman" w:hAnsi="Times New Roman" w:cs="Times New Roman"/>
        </w:rPr>
        <w:t xml:space="preserve">correctly </w:t>
      </w:r>
      <w:r>
        <w:rPr>
          <w:rFonts w:ascii="Times New Roman" w:hAnsi="Times New Roman" w:cs="Times New Roman"/>
        </w:rPr>
        <w:t>and have a follow-up visit scheduled with their PCP within seven days. Virtual care transition</w:t>
      </w:r>
      <w:r w:rsidR="0099508B">
        <w:rPr>
          <w:rFonts w:ascii="Times New Roman" w:hAnsi="Times New Roman" w:cs="Times New Roman"/>
        </w:rPr>
        <w:t xml:space="preserve"> visits</w:t>
      </w:r>
      <w:r>
        <w:rPr>
          <w:rFonts w:ascii="Times New Roman" w:hAnsi="Times New Roman" w:cs="Times New Roman"/>
        </w:rPr>
        <w:t xml:space="preserve"> </w:t>
      </w:r>
      <w:r w:rsidR="0099508B">
        <w:rPr>
          <w:rFonts w:ascii="Times New Roman" w:hAnsi="Times New Roman" w:cs="Times New Roman"/>
        </w:rPr>
        <w:t xml:space="preserve">would be more robust with </w:t>
      </w:r>
      <w:r>
        <w:rPr>
          <w:rFonts w:ascii="Times New Roman" w:hAnsi="Times New Roman" w:cs="Times New Roman"/>
        </w:rPr>
        <w:t xml:space="preserve">the ability to examine wounds, </w:t>
      </w:r>
      <w:r w:rsidR="0099508B">
        <w:rPr>
          <w:rFonts w:ascii="Times New Roman" w:hAnsi="Times New Roman" w:cs="Times New Roman"/>
        </w:rPr>
        <w:t>observe the patients’ demeanor</w:t>
      </w:r>
      <w:r>
        <w:rPr>
          <w:rFonts w:ascii="Times New Roman" w:hAnsi="Times New Roman" w:cs="Times New Roman"/>
        </w:rPr>
        <w:t xml:space="preserve"> and </w:t>
      </w:r>
      <w:r w:rsidR="0099508B">
        <w:rPr>
          <w:rFonts w:ascii="Times New Roman" w:hAnsi="Times New Roman" w:cs="Times New Roman"/>
        </w:rPr>
        <w:t xml:space="preserve">home environment, and </w:t>
      </w:r>
      <w:r>
        <w:rPr>
          <w:rFonts w:ascii="Times New Roman" w:hAnsi="Times New Roman" w:cs="Times New Roman"/>
        </w:rPr>
        <w:t xml:space="preserve">even conduct the patient’s follow-up </w:t>
      </w:r>
      <w:r w:rsidR="0099508B">
        <w:rPr>
          <w:rFonts w:ascii="Times New Roman" w:hAnsi="Times New Roman" w:cs="Times New Roman"/>
        </w:rPr>
        <w:t>primary care</w:t>
      </w:r>
      <w:r>
        <w:rPr>
          <w:rFonts w:ascii="Times New Roman" w:hAnsi="Times New Roman" w:cs="Times New Roman"/>
        </w:rPr>
        <w:t xml:space="preserve"> visit</w:t>
      </w:r>
      <w:r w:rsidR="00230F41">
        <w:rPr>
          <w:rFonts w:ascii="Times New Roman" w:hAnsi="Times New Roman" w:cs="Times New Roman"/>
        </w:rPr>
        <w:t xml:space="preserve"> virtually</w:t>
      </w:r>
      <w:r>
        <w:rPr>
          <w:rFonts w:ascii="Times New Roman" w:hAnsi="Times New Roman" w:cs="Times New Roman"/>
        </w:rPr>
        <w:t xml:space="preserve">. </w:t>
      </w:r>
    </w:p>
    <w:p w14:paraId="66368790" w14:textId="60CC2F5E" w:rsidR="004966B8" w:rsidRDefault="004966B8" w:rsidP="001A1DA3">
      <w:pPr>
        <w:spacing w:before="120" w:after="120" w:line="276" w:lineRule="auto"/>
        <w:ind w:left="1080" w:right="1170"/>
        <w:rPr>
          <w:rFonts w:ascii="Times New Roman" w:hAnsi="Times New Roman" w:cs="Times New Roman"/>
        </w:rPr>
      </w:pPr>
      <w:r>
        <w:rPr>
          <w:rFonts w:ascii="Times New Roman" w:hAnsi="Times New Roman" w:cs="Times New Roman"/>
        </w:rPr>
        <w:t>The COVID-19 p</w:t>
      </w:r>
      <w:r w:rsidRPr="00453189">
        <w:rPr>
          <w:rFonts w:ascii="Times New Roman" w:hAnsi="Times New Roman" w:cs="Times New Roman"/>
        </w:rPr>
        <w:t xml:space="preserve">ublic health emergency </w:t>
      </w:r>
      <w:r>
        <w:rPr>
          <w:rFonts w:ascii="Times New Roman" w:hAnsi="Times New Roman" w:cs="Times New Roman"/>
        </w:rPr>
        <w:t>and s</w:t>
      </w:r>
      <w:r w:rsidR="0099508B">
        <w:rPr>
          <w:rFonts w:ascii="Times New Roman" w:hAnsi="Times New Roman" w:cs="Times New Roman"/>
        </w:rPr>
        <w:t>ubsequent</w:t>
      </w:r>
      <w:r>
        <w:rPr>
          <w:rFonts w:ascii="Times New Roman" w:hAnsi="Times New Roman" w:cs="Times New Roman"/>
        </w:rPr>
        <w:t xml:space="preserve"> Medicare </w:t>
      </w:r>
      <w:r w:rsidR="0099508B">
        <w:rPr>
          <w:rFonts w:ascii="Times New Roman" w:hAnsi="Times New Roman" w:cs="Times New Roman"/>
        </w:rPr>
        <w:t xml:space="preserve">payment </w:t>
      </w:r>
      <w:r>
        <w:rPr>
          <w:rFonts w:ascii="Times New Roman" w:hAnsi="Times New Roman" w:cs="Times New Roman"/>
        </w:rPr>
        <w:t xml:space="preserve">waivers </w:t>
      </w:r>
      <w:r w:rsidRPr="00453189">
        <w:rPr>
          <w:rFonts w:ascii="Times New Roman" w:hAnsi="Times New Roman" w:cs="Times New Roman"/>
        </w:rPr>
        <w:t xml:space="preserve">led </w:t>
      </w:r>
      <w:r>
        <w:rPr>
          <w:rFonts w:ascii="Times New Roman" w:hAnsi="Times New Roman" w:cs="Times New Roman"/>
        </w:rPr>
        <w:t xml:space="preserve">to a telehealth rollout of </w:t>
      </w:r>
      <w:r w:rsidRPr="00453189">
        <w:rPr>
          <w:rFonts w:ascii="Times New Roman" w:hAnsi="Times New Roman" w:cs="Times New Roman"/>
        </w:rPr>
        <w:t xml:space="preserve">unprecedented speed – driven </w:t>
      </w:r>
      <w:r>
        <w:rPr>
          <w:rFonts w:ascii="Times New Roman" w:hAnsi="Times New Roman" w:cs="Times New Roman"/>
        </w:rPr>
        <w:t>primarily b</w:t>
      </w:r>
      <w:r w:rsidRPr="00453189">
        <w:rPr>
          <w:rFonts w:ascii="Times New Roman" w:hAnsi="Times New Roman" w:cs="Times New Roman"/>
        </w:rPr>
        <w:t xml:space="preserve">y </w:t>
      </w:r>
      <w:r>
        <w:rPr>
          <w:rFonts w:ascii="Times New Roman" w:hAnsi="Times New Roman" w:cs="Times New Roman"/>
        </w:rPr>
        <w:t xml:space="preserve">the </w:t>
      </w:r>
      <w:r w:rsidRPr="00453189">
        <w:rPr>
          <w:rFonts w:ascii="Times New Roman" w:hAnsi="Times New Roman" w:cs="Times New Roman"/>
        </w:rPr>
        <w:t>“revenue emergency</w:t>
      </w:r>
      <w:r>
        <w:rPr>
          <w:rFonts w:ascii="Times New Roman" w:hAnsi="Times New Roman" w:cs="Times New Roman"/>
        </w:rPr>
        <w:t>.</w:t>
      </w:r>
      <w:r w:rsidRPr="00453189">
        <w:rPr>
          <w:rFonts w:ascii="Times New Roman" w:hAnsi="Times New Roman" w:cs="Times New Roman"/>
        </w:rPr>
        <w:t>”</w:t>
      </w:r>
      <w:r>
        <w:rPr>
          <w:rFonts w:ascii="Times New Roman" w:hAnsi="Times New Roman" w:cs="Times New Roman"/>
        </w:rPr>
        <w:t xml:space="preserve"> It is unlikely that CMS will put the telehealth genie completely back in the bottle. However, continued widespread use of telehealth and the broader system-level transition to virtual care will require thoughtful post-pandemic reimbursement policy, more research on the cost-effectiveness of different telehealth modalities and continued acculturation of US patients and physicians. </w:t>
      </w:r>
    </w:p>
    <w:p w14:paraId="54FB86B6" w14:textId="77777777" w:rsidR="004966B8" w:rsidRDefault="004966B8" w:rsidP="001A1DA3">
      <w:pPr>
        <w:spacing w:before="120" w:after="120" w:line="276" w:lineRule="auto"/>
        <w:ind w:left="1080" w:right="1170"/>
        <w:rPr>
          <w:rFonts w:ascii="Times New Roman" w:hAnsi="Times New Roman" w:cs="Times New Roman"/>
        </w:rPr>
      </w:pPr>
    </w:p>
    <w:tbl>
      <w:tblPr>
        <w:tblStyle w:val="TableGrid"/>
        <w:tblW w:w="0" w:type="auto"/>
        <w:tblInd w:w="1075" w:type="dxa"/>
        <w:tblLook w:val="04A0" w:firstRow="1" w:lastRow="0" w:firstColumn="1" w:lastColumn="0" w:noHBand="0" w:noVBand="1"/>
      </w:tblPr>
      <w:tblGrid>
        <w:gridCol w:w="9697"/>
      </w:tblGrid>
      <w:tr w:rsidR="004966B8" w14:paraId="569A55B4" w14:textId="77777777" w:rsidTr="009444F7">
        <w:trPr>
          <w:trHeight w:val="917"/>
        </w:trPr>
        <w:tc>
          <w:tcPr>
            <w:tcW w:w="9697" w:type="dxa"/>
          </w:tcPr>
          <w:p w14:paraId="506BE76E" w14:textId="246A25D0" w:rsidR="004966B8" w:rsidRPr="00441AAF" w:rsidRDefault="004966B8" w:rsidP="001A1DA3">
            <w:pPr>
              <w:spacing w:before="120" w:after="120" w:line="276" w:lineRule="auto"/>
              <w:ind w:left="1080" w:right="1170"/>
              <w:jc w:val="center"/>
              <w:rPr>
                <w:rFonts w:ascii="Times New Roman" w:hAnsi="Times New Roman" w:cs="Times New Roman"/>
                <w:i/>
                <w:iCs/>
              </w:rPr>
            </w:pPr>
            <w:r w:rsidRPr="00441AAF">
              <w:rPr>
                <w:rFonts w:ascii="Times New Roman" w:hAnsi="Times New Roman" w:cs="Times New Roman"/>
                <w:i/>
                <w:iCs/>
              </w:rPr>
              <w:t>This paper was pr</w:t>
            </w:r>
            <w:r>
              <w:rPr>
                <w:rFonts w:ascii="Times New Roman" w:hAnsi="Times New Roman" w:cs="Times New Roman"/>
                <w:i/>
                <w:iCs/>
              </w:rPr>
              <w:t>epared</w:t>
            </w:r>
            <w:r w:rsidRPr="00441AAF">
              <w:rPr>
                <w:rFonts w:ascii="Times New Roman" w:hAnsi="Times New Roman" w:cs="Times New Roman"/>
                <w:i/>
                <w:iCs/>
              </w:rPr>
              <w:t xml:space="preserve"> </w:t>
            </w:r>
            <w:r w:rsidR="009444F7">
              <w:rPr>
                <w:rFonts w:ascii="Times New Roman" w:hAnsi="Times New Roman" w:cs="Times New Roman"/>
                <w:i/>
                <w:iCs/>
              </w:rPr>
              <w:t xml:space="preserve">by Robert Mechanic, Jennifer Perloff, Andrew Perlman and Sanjukta Pal </w:t>
            </w:r>
            <w:r w:rsidRPr="00441AAF">
              <w:rPr>
                <w:rFonts w:ascii="Times New Roman" w:hAnsi="Times New Roman" w:cs="Times New Roman"/>
                <w:i/>
                <w:iCs/>
              </w:rPr>
              <w:t>with support from the West Health Institute</w:t>
            </w:r>
          </w:p>
        </w:tc>
      </w:tr>
    </w:tbl>
    <w:p w14:paraId="79D6C60F" w14:textId="77777777" w:rsidR="004966B8" w:rsidRPr="00453189" w:rsidRDefault="004966B8" w:rsidP="001A1DA3">
      <w:pPr>
        <w:spacing w:before="120" w:after="120" w:line="276" w:lineRule="auto"/>
        <w:ind w:left="1080" w:right="1170"/>
        <w:rPr>
          <w:rFonts w:ascii="Times New Roman" w:hAnsi="Times New Roman" w:cs="Times New Roman"/>
        </w:rPr>
      </w:pPr>
    </w:p>
    <w:p w14:paraId="6738A2C6" w14:textId="6A2261F6" w:rsidR="007F3775" w:rsidRDefault="00A94F87" w:rsidP="001A1DA3">
      <w:pPr>
        <w:spacing w:before="120" w:after="120" w:line="276" w:lineRule="auto"/>
        <w:ind w:left="1080" w:right="1170"/>
      </w:pPr>
    </w:p>
    <w:p w14:paraId="4414F88D" w14:textId="77777777" w:rsidR="004966B8" w:rsidRDefault="004966B8" w:rsidP="001A1DA3">
      <w:pPr>
        <w:spacing w:before="120" w:after="120" w:line="276" w:lineRule="auto"/>
        <w:ind w:left="1080" w:right="1170"/>
      </w:pPr>
    </w:p>
    <w:p w14:paraId="4B59941F" w14:textId="77777777" w:rsidR="004966B8" w:rsidRDefault="004966B8" w:rsidP="001A1DA3">
      <w:pPr>
        <w:spacing w:before="120" w:after="120" w:line="276" w:lineRule="auto"/>
        <w:ind w:left="1080" w:right="1170"/>
      </w:pPr>
    </w:p>
    <w:sectPr w:rsidR="004966B8" w:rsidSect="00AB36E9">
      <w:headerReference w:type="default" r:id="rId9"/>
      <w:footerReference w:type="default" r:id="rId10"/>
      <w:pgSz w:w="12240" w:h="15840"/>
      <w:pgMar w:top="0" w:right="0" w:bottom="720" w:left="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44E1" w14:textId="77777777" w:rsidR="00A94F87" w:rsidRDefault="00A94F87" w:rsidP="00B46F52">
      <w:r>
        <w:separator/>
      </w:r>
    </w:p>
  </w:endnote>
  <w:endnote w:type="continuationSeparator" w:id="0">
    <w:p w14:paraId="0C7D0838" w14:textId="77777777" w:rsidR="00A94F87" w:rsidRDefault="00A94F87" w:rsidP="00B4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BD0" w14:textId="4CA22DA2" w:rsidR="008612D8" w:rsidRDefault="00B46F52" w:rsidP="00413324">
    <w:pPr>
      <w:ind w:left="810"/>
    </w:pPr>
    <w:r>
      <w:t xml:space="preserve"> </w:t>
    </w:r>
    <w:r w:rsidR="00413324" w:rsidRPr="00B46F52">
      <w:rPr>
        <w:noProof/>
      </w:rPr>
      <w:drawing>
        <wp:inline distT="0" distB="0" distL="0" distR="0" wp14:anchorId="04BD8635" wp14:editId="5A5F4DB5">
          <wp:extent cx="6602824" cy="556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71510" cy="82370"/>
                  </a:xfrm>
                  <a:prstGeom prst="rect">
                    <a:avLst/>
                  </a:prstGeom>
                </pic:spPr>
              </pic:pic>
            </a:graphicData>
          </a:graphic>
        </wp:inline>
      </w:drawing>
    </w:r>
  </w:p>
  <w:p w14:paraId="360B07B4" w14:textId="77777777" w:rsidR="00B46F52" w:rsidRPr="009F2A56" w:rsidRDefault="009F2A56" w:rsidP="009F2A56">
    <w:pPr>
      <w:jc w:val="center"/>
    </w:pPr>
    <w:r>
      <w:rPr>
        <w:rFonts w:ascii="Arial" w:eastAsia="Times New Roman" w:hAnsi="Arial" w:cs="Arial"/>
        <w:color w:val="595959" w:themeColor="text1" w:themeTint="A6"/>
        <w:sz w:val="16"/>
        <w:szCs w:val="16"/>
      </w:rPr>
      <w:br/>
    </w:r>
    <w:r w:rsidR="00B46F52" w:rsidRPr="008612D8">
      <w:rPr>
        <w:rFonts w:ascii="Arial" w:eastAsia="Times New Roman" w:hAnsi="Arial" w:cs="Arial"/>
        <w:color w:val="595959" w:themeColor="text1" w:themeTint="A6"/>
        <w:sz w:val="16"/>
        <w:szCs w:val="16"/>
      </w:rPr>
      <w:t xml:space="preserve">601 13th Street, </w:t>
    </w:r>
    <w:proofErr w:type="gramStart"/>
    <w:r w:rsidR="00B46F52" w:rsidRPr="008612D8">
      <w:rPr>
        <w:rFonts w:ascii="Arial" w:eastAsia="Times New Roman" w:hAnsi="Arial" w:cs="Arial"/>
        <w:color w:val="595959" w:themeColor="text1" w:themeTint="A6"/>
        <w:sz w:val="16"/>
        <w:szCs w:val="16"/>
      </w:rPr>
      <w:t>NW</w:t>
    </w:r>
    <w:r w:rsidR="008612D8" w:rsidRPr="008612D8">
      <w:rPr>
        <w:rFonts w:ascii="Arial" w:eastAsia="Times New Roman" w:hAnsi="Arial" w:cs="Arial"/>
        <w:color w:val="595959" w:themeColor="text1" w:themeTint="A6"/>
        <w:sz w:val="16"/>
        <w:szCs w:val="16"/>
      </w:rPr>
      <w:t xml:space="preserve">  |</w:t>
    </w:r>
    <w:proofErr w:type="gramEnd"/>
    <w:r w:rsidR="008612D8" w:rsidRPr="008612D8">
      <w:rPr>
        <w:rFonts w:ascii="Arial" w:eastAsia="Times New Roman" w:hAnsi="Arial" w:cs="Arial"/>
        <w:color w:val="595959" w:themeColor="text1" w:themeTint="A6"/>
        <w:sz w:val="16"/>
        <w:szCs w:val="16"/>
      </w:rPr>
      <w:t xml:space="preserve">  Suite 900 South  |  Washington, DC 20005</w:t>
    </w:r>
    <w:r w:rsidR="008612D8">
      <w:rPr>
        <w:rFonts w:ascii="Arial" w:eastAsia="Times New Roman" w:hAnsi="Arial" w:cs="Arial"/>
        <w:color w:val="595959" w:themeColor="text1" w:themeTint="A6"/>
        <w:sz w:val="16"/>
        <w:szCs w:val="16"/>
      </w:rPr>
      <w:t xml:space="preserve">  |  </w:t>
    </w:r>
    <w:r w:rsidR="008612D8" w:rsidRPr="009F2A56">
      <w:rPr>
        <w:rFonts w:ascii="Arial" w:hAnsi="Arial" w:cs="Arial"/>
        <w:color w:val="595959" w:themeColor="text1" w:themeTint="A6"/>
        <w:sz w:val="16"/>
        <w:szCs w:val="16"/>
      </w:rPr>
      <w:t>info@institute4c.org</w:t>
    </w:r>
    <w:r w:rsidR="008612D8">
      <w:rPr>
        <w:rFonts w:ascii="Arial" w:hAnsi="Arial" w:cs="Arial"/>
        <w:color w:val="595959" w:themeColor="text1" w:themeTint="A6"/>
        <w:sz w:val="16"/>
        <w:szCs w:val="16"/>
      </w:rPr>
      <w:t xml:space="preserve">  |  www.institute4ac.org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E375" w14:textId="77777777" w:rsidR="00A94F87" w:rsidRDefault="00A94F87" w:rsidP="00B46F52">
      <w:r>
        <w:separator/>
      </w:r>
    </w:p>
  </w:footnote>
  <w:footnote w:type="continuationSeparator" w:id="0">
    <w:p w14:paraId="10FE65B4" w14:textId="77777777" w:rsidR="00A94F87" w:rsidRDefault="00A94F87" w:rsidP="00B46F52">
      <w:r>
        <w:continuationSeparator/>
      </w:r>
    </w:p>
  </w:footnote>
  <w:footnote w:id="1">
    <w:p w14:paraId="733DEEF1" w14:textId="77777777" w:rsidR="004966B8" w:rsidRDefault="004966B8" w:rsidP="004966B8">
      <w:pPr>
        <w:pStyle w:val="FootnoteText"/>
        <w:ind w:left="1080" w:right="1530"/>
      </w:pPr>
      <w:r>
        <w:rPr>
          <w:rStyle w:val="FootnoteReference"/>
        </w:rPr>
        <w:footnoteRef/>
      </w:r>
      <w:r>
        <w:t xml:space="preserve"> Sadiq Patel, Ateev Mehrotra et al. Variation in Telemedicine User and Outpatient Care during the COVID-19 Pandemic in the United States. Health Affairs.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26CB" w14:textId="77777777" w:rsidR="009F2A56" w:rsidRDefault="006756A1" w:rsidP="006756A1">
    <w:pPr>
      <w:pStyle w:val="Header"/>
      <w:ind w:left="576"/>
    </w:pPr>
    <w:r>
      <w:rPr>
        <w:noProof/>
      </w:rPr>
      <w:drawing>
        <wp:inline distT="0" distB="0" distL="0" distR="0" wp14:anchorId="7E8E6BF3" wp14:editId="38D04177">
          <wp:extent cx="1625600" cy="81280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ac_final.png"/>
                  <pic:cNvPicPr/>
                </pic:nvPicPr>
                <pic:blipFill>
                  <a:blip r:embed="rId1">
                    <a:extLst>
                      <a:ext uri="{28A0092B-C50C-407E-A947-70E740481C1C}">
                        <a14:useLocalDpi xmlns:a14="http://schemas.microsoft.com/office/drawing/2010/main" val="0"/>
                      </a:ext>
                    </a:extLst>
                  </a:blip>
                  <a:stretch>
                    <a:fillRect/>
                  </a:stretch>
                </pic:blipFill>
                <pic:spPr>
                  <a:xfrm>
                    <a:off x="0" y="0"/>
                    <a:ext cx="1625600" cy="812800"/>
                  </a:xfrm>
                  <a:prstGeom prst="rect">
                    <a:avLst/>
                  </a:prstGeom>
                </pic:spPr>
              </pic:pic>
            </a:graphicData>
          </a:graphic>
        </wp:inline>
      </w:drawing>
    </w:r>
    <w:r w:rsidR="00271763" w:rsidRPr="00271763">
      <w:rPr>
        <w:noProof/>
      </w:rPr>
      <w:drawing>
        <wp:inline distT="0" distB="0" distL="0" distR="0" wp14:anchorId="286C3332" wp14:editId="59F4CB25">
          <wp:extent cx="5486400" cy="274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486400" cy="27432"/>
                  </a:xfrm>
                  <a:prstGeom prst="rect">
                    <a:avLst/>
                  </a:prstGeom>
                </pic:spPr>
              </pic:pic>
            </a:graphicData>
          </a:graphic>
        </wp:inline>
      </w:drawing>
    </w:r>
  </w:p>
  <w:p w14:paraId="5288E222" w14:textId="77777777" w:rsidR="00AB36E9" w:rsidRDefault="00AB36E9" w:rsidP="006756A1">
    <w:pPr>
      <w:pStyle w:val="Header"/>
      <w:ind w:left="5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32"/>
    <w:rsid w:val="00043072"/>
    <w:rsid w:val="0004426F"/>
    <w:rsid w:val="00094DA5"/>
    <w:rsid w:val="001022B5"/>
    <w:rsid w:val="00105D4D"/>
    <w:rsid w:val="001A1DA3"/>
    <w:rsid w:val="00230F41"/>
    <w:rsid w:val="00245644"/>
    <w:rsid w:val="00271763"/>
    <w:rsid w:val="003A0C5F"/>
    <w:rsid w:val="00403352"/>
    <w:rsid w:val="00413324"/>
    <w:rsid w:val="004966B8"/>
    <w:rsid w:val="004D3143"/>
    <w:rsid w:val="00572E3A"/>
    <w:rsid w:val="006756A1"/>
    <w:rsid w:val="00686B05"/>
    <w:rsid w:val="006E70BA"/>
    <w:rsid w:val="007D0445"/>
    <w:rsid w:val="0084116E"/>
    <w:rsid w:val="008612D8"/>
    <w:rsid w:val="00863985"/>
    <w:rsid w:val="008B5314"/>
    <w:rsid w:val="008D7F1C"/>
    <w:rsid w:val="009444F7"/>
    <w:rsid w:val="0099508B"/>
    <w:rsid w:val="00996330"/>
    <w:rsid w:val="009F2A56"/>
    <w:rsid w:val="00A035D5"/>
    <w:rsid w:val="00A94F87"/>
    <w:rsid w:val="00AB36E9"/>
    <w:rsid w:val="00B46F52"/>
    <w:rsid w:val="00BC2032"/>
    <w:rsid w:val="00C96D3E"/>
    <w:rsid w:val="00CB4733"/>
    <w:rsid w:val="00D97B5B"/>
    <w:rsid w:val="00E1221E"/>
    <w:rsid w:val="00F151B7"/>
    <w:rsid w:val="00F6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8D4CE"/>
  <w15:chartTrackingRefBased/>
  <w15:docId w15:val="{E2A4C57F-CA3A-4244-87B4-57674889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F52"/>
    <w:pPr>
      <w:tabs>
        <w:tab w:val="center" w:pos="4680"/>
        <w:tab w:val="right" w:pos="9360"/>
      </w:tabs>
    </w:pPr>
  </w:style>
  <w:style w:type="character" w:customStyle="1" w:styleId="HeaderChar">
    <w:name w:val="Header Char"/>
    <w:basedOn w:val="DefaultParagraphFont"/>
    <w:link w:val="Header"/>
    <w:uiPriority w:val="99"/>
    <w:rsid w:val="00B46F52"/>
  </w:style>
  <w:style w:type="paragraph" w:styleId="Footer">
    <w:name w:val="footer"/>
    <w:basedOn w:val="Normal"/>
    <w:link w:val="FooterChar"/>
    <w:uiPriority w:val="99"/>
    <w:unhideWhenUsed/>
    <w:rsid w:val="00B46F52"/>
    <w:pPr>
      <w:tabs>
        <w:tab w:val="center" w:pos="4680"/>
        <w:tab w:val="right" w:pos="9360"/>
      </w:tabs>
    </w:pPr>
  </w:style>
  <w:style w:type="character" w:customStyle="1" w:styleId="FooterChar">
    <w:name w:val="Footer Char"/>
    <w:basedOn w:val="DefaultParagraphFont"/>
    <w:link w:val="Footer"/>
    <w:uiPriority w:val="99"/>
    <w:rsid w:val="00B46F52"/>
  </w:style>
  <w:style w:type="character" w:styleId="Hyperlink">
    <w:name w:val="Hyperlink"/>
    <w:basedOn w:val="DefaultParagraphFont"/>
    <w:uiPriority w:val="99"/>
    <w:unhideWhenUsed/>
    <w:rsid w:val="00B46F52"/>
    <w:rPr>
      <w:color w:val="0563C1" w:themeColor="hyperlink"/>
      <w:u w:val="single"/>
    </w:rPr>
  </w:style>
  <w:style w:type="character" w:styleId="UnresolvedMention">
    <w:name w:val="Unresolved Mention"/>
    <w:basedOn w:val="DefaultParagraphFont"/>
    <w:uiPriority w:val="99"/>
    <w:semiHidden/>
    <w:unhideWhenUsed/>
    <w:rsid w:val="00B46F52"/>
    <w:rPr>
      <w:color w:val="605E5C"/>
      <w:shd w:val="clear" w:color="auto" w:fill="E1DFDD"/>
    </w:rPr>
  </w:style>
  <w:style w:type="table" w:styleId="TableGrid">
    <w:name w:val="Table Grid"/>
    <w:basedOn w:val="TableNormal"/>
    <w:uiPriority w:val="39"/>
    <w:rsid w:val="0049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66B8"/>
    <w:rPr>
      <w:sz w:val="20"/>
      <w:szCs w:val="20"/>
    </w:rPr>
  </w:style>
  <w:style w:type="character" w:customStyle="1" w:styleId="FootnoteTextChar">
    <w:name w:val="Footnote Text Char"/>
    <w:basedOn w:val="DefaultParagraphFont"/>
    <w:link w:val="FootnoteText"/>
    <w:uiPriority w:val="99"/>
    <w:semiHidden/>
    <w:rsid w:val="004966B8"/>
    <w:rPr>
      <w:sz w:val="20"/>
      <w:szCs w:val="20"/>
    </w:rPr>
  </w:style>
  <w:style w:type="character" w:styleId="FootnoteReference">
    <w:name w:val="footnote reference"/>
    <w:basedOn w:val="DefaultParagraphFont"/>
    <w:uiPriority w:val="99"/>
    <w:semiHidden/>
    <w:unhideWhenUsed/>
    <w:rsid w:val="004966B8"/>
    <w:rPr>
      <w:vertAlign w:val="superscript"/>
    </w:rPr>
  </w:style>
  <w:style w:type="character" w:styleId="PageNumber">
    <w:name w:val="page number"/>
    <w:basedOn w:val="DefaultParagraphFont"/>
    <w:uiPriority w:val="99"/>
    <w:semiHidden/>
    <w:unhideWhenUsed/>
    <w:rsid w:val="001A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74782">
      <w:bodyDiv w:val="1"/>
      <w:marLeft w:val="0"/>
      <w:marRight w:val="0"/>
      <w:marTop w:val="0"/>
      <w:marBottom w:val="0"/>
      <w:divBdr>
        <w:top w:val="none" w:sz="0" w:space="0" w:color="auto"/>
        <w:left w:val="none" w:sz="0" w:space="0" w:color="auto"/>
        <w:bottom w:val="none" w:sz="0" w:space="0" w:color="auto"/>
        <w:right w:val="none" w:sz="0" w:space="0" w:color="auto"/>
      </w:divBdr>
    </w:div>
    <w:div w:id="686173886">
      <w:bodyDiv w:val="1"/>
      <w:marLeft w:val="0"/>
      <w:marRight w:val="0"/>
      <w:marTop w:val="0"/>
      <w:marBottom w:val="0"/>
      <w:divBdr>
        <w:top w:val="none" w:sz="0" w:space="0" w:color="auto"/>
        <w:left w:val="none" w:sz="0" w:space="0" w:color="auto"/>
        <w:bottom w:val="none" w:sz="0" w:space="0" w:color="auto"/>
        <w:right w:val="none" w:sz="0" w:space="0" w:color="auto"/>
      </w:divBdr>
    </w:div>
    <w:div w:id="7152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Teicher, Benjamin</cp:lastModifiedBy>
  <cp:revision>2</cp:revision>
  <cp:lastPrinted>2021-05-26T16:55:00Z</cp:lastPrinted>
  <dcterms:created xsi:type="dcterms:W3CDTF">2021-06-29T20:42:00Z</dcterms:created>
  <dcterms:modified xsi:type="dcterms:W3CDTF">2021-06-29T20:42:00Z</dcterms:modified>
</cp:coreProperties>
</file>